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FA" w:rsidRDefault="00C74DFA" w:rsidP="00C74DFA">
      <w:bookmarkStart w:id="0" w:name="_GoBack"/>
      <w:bookmarkEnd w:id="0"/>
    </w:p>
    <w:tbl>
      <w:tblPr>
        <w:tblW w:w="0" w:type="auto"/>
        <w:tblLayout w:type="fixed"/>
        <w:tblLook w:val="01E0" w:firstRow="1" w:lastRow="1" w:firstColumn="1" w:lastColumn="1" w:noHBand="0" w:noVBand="0"/>
      </w:tblPr>
      <w:tblGrid>
        <w:gridCol w:w="5176"/>
        <w:gridCol w:w="4973"/>
      </w:tblGrid>
      <w:tr w:rsidR="00C74DFA" w:rsidTr="00896462">
        <w:tc>
          <w:tcPr>
            <w:tcW w:w="5176" w:type="dxa"/>
          </w:tcPr>
          <w:p w:rsidR="00C74DFA" w:rsidRDefault="00C74DFA" w:rsidP="00896462">
            <w:pPr>
              <w:rPr>
                <w:rFonts w:ascii="Arial" w:hAnsi="Arial" w:cs="Arial"/>
                <w:b/>
              </w:rPr>
            </w:pPr>
            <w:r>
              <w:rPr>
                <w:rFonts w:ascii="Arial" w:hAnsi="Arial" w:cs="Arial"/>
                <w:b/>
              </w:rPr>
              <w:t xml:space="preserve">From Eugene Rooney  </w:t>
            </w:r>
          </w:p>
          <w:p w:rsidR="00C74DFA" w:rsidRDefault="00C74DFA" w:rsidP="00896462">
            <w:pPr>
              <w:rPr>
                <w:rFonts w:ascii="Arial" w:hAnsi="Arial" w:cs="Arial"/>
                <w:b/>
              </w:rPr>
            </w:pPr>
            <w:r>
              <w:rPr>
                <w:rFonts w:ascii="Arial" w:hAnsi="Arial" w:cs="Arial"/>
                <w:b/>
              </w:rPr>
              <w:t>Director of Primary Care &amp; Commissioning</w:t>
            </w:r>
          </w:p>
          <w:p w:rsidR="00C74DFA" w:rsidRPr="00C80C2F" w:rsidRDefault="00C74DFA" w:rsidP="00896462">
            <w:pPr>
              <w:rPr>
                <w:rFonts w:ascii="Arial" w:hAnsi="Arial" w:cs="Arial"/>
                <w:b/>
              </w:rPr>
            </w:pPr>
          </w:p>
          <w:p w:rsidR="00C74DFA" w:rsidRPr="00C80C2F" w:rsidRDefault="00C74DFA" w:rsidP="00896462">
            <w:pPr>
              <w:rPr>
                <w:rFonts w:ascii="Arial" w:hAnsi="Arial" w:cs="Arial"/>
                <w:b/>
              </w:rPr>
            </w:pPr>
            <w:r w:rsidRPr="00C80C2F">
              <w:rPr>
                <w:rFonts w:ascii="Arial" w:hAnsi="Arial" w:cs="Arial"/>
                <w:b/>
              </w:rPr>
              <w:t xml:space="preserve"> </w:t>
            </w:r>
          </w:p>
        </w:tc>
        <w:tc>
          <w:tcPr>
            <w:tcW w:w="4973" w:type="dxa"/>
          </w:tcPr>
          <w:p w:rsidR="00C74DFA" w:rsidRDefault="00E04FE9" w:rsidP="00896462">
            <w:pPr>
              <w:tabs>
                <w:tab w:val="left" w:pos="6521"/>
              </w:tabs>
            </w:pPr>
            <w:r>
              <w:rPr>
                <w:noProof/>
              </w:rPr>
              <w:drawing>
                <wp:inline distT="0" distB="0" distL="0" distR="0">
                  <wp:extent cx="2695575" cy="800100"/>
                  <wp:effectExtent l="0" t="0" r="9525" b="0"/>
                  <wp:docPr id="1" name="Picture 1" descr="DeptHSSPS-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HSSPS-rgb_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800100"/>
                          </a:xfrm>
                          <a:prstGeom prst="rect">
                            <a:avLst/>
                          </a:prstGeom>
                          <a:noFill/>
                          <a:ln>
                            <a:noFill/>
                          </a:ln>
                        </pic:spPr>
                      </pic:pic>
                    </a:graphicData>
                  </a:graphic>
                </wp:inline>
              </w:drawing>
            </w:r>
          </w:p>
        </w:tc>
      </w:tr>
    </w:tbl>
    <w:p w:rsidR="00C74DFA" w:rsidRDefault="00C74DFA" w:rsidP="00C74DFA">
      <w:pPr>
        <w:jc w:val="right"/>
      </w:pPr>
    </w:p>
    <w:tbl>
      <w:tblPr>
        <w:tblW w:w="0" w:type="auto"/>
        <w:tblLook w:val="0000" w:firstRow="0" w:lastRow="0" w:firstColumn="0" w:lastColumn="0" w:noHBand="0" w:noVBand="0"/>
      </w:tblPr>
      <w:tblGrid>
        <w:gridCol w:w="5185"/>
        <w:gridCol w:w="3337"/>
      </w:tblGrid>
      <w:tr w:rsidR="00C74DFA" w:rsidTr="00896462">
        <w:trPr>
          <w:trHeight w:val="255"/>
        </w:trPr>
        <w:tc>
          <w:tcPr>
            <w:tcW w:w="6624" w:type="dxa"/>
          </w:tcPr>
          <w:p w:rsidR="00C74DFA" w:rsidRPr="00C74DFA" w:rsidRDefault="00C74DFA" w:rsidP="00896462">
            <w:pPr>
              <w:rPr>
                <w:rFonts w:ascii="Arial" w:hAnsi="Arial" w:cs="Arial"/>
                <w:sz w:val="24"/>
                <w:szCs w:val="24"/>
              </w:rPr>
            </w:pPr>
            <w:r w:rsidRPr="00C74DFA">
              <w:rPr>
                <w:rFonts w:ascii="Arial" w:hAnsi="Arial" w:cs="Arial"/>
                <w:sz w:val="24"/>
                <w:szCs w:val="24"/>
              </w:rPr>
              <w:t>Dr Tom Black</w:t>
            </w:r>
          </w:p>
          <w:p w:rsidR="00C74DFA" w:rsidRPr="00C74DFA" w:rsidRDefault="00C74DFA" w:rsidP="00896462">
            <w:pPr>
              <w:pStyle w:val="BodyTextIndent"/>
              <w:spacing w:after="0"/>
              <w:ind w:left="0"/>
              <w:rPr>
                <w:rFonts w:ascii="Arial" w:hAnsi="Arial" w:cs="Arial"/>
                <w:i/>
                <w:sz w:val="24"/>
                <w:szCs w:val="24"/>
              </w:rPr>
            </w:pPr>
            <w:r w:rsidRPr="00C74DFA">
              <w:rPr>
                <w:rFonts w:ascii="Arial" w:hAnsi="Arial" w:cs="Arial"/>
                <w:sz w:val="24"/>
                <w:szCs w:val="24"/>
              </w:rPr>
              <w:t>Chairman</w:t>
            </w:r>
            <w:r w:rsidRPr="00C74DFA">
              <w:rPr>
                <w:rFonts w:ascii="Arial" w:hAnsi="Arial" w:cs="Arial"/>
                <w:i/>
                <w:sz w:val="24"/>
                <w:szCs w:val="24"/>
              </w:rPr>
              <w:t xml:space="preserve"> </w:t>
            </w:r>
          </w:p>
          <w:p w:rsidR="00C74DFA" w:rsidRPr="00C74DFA" w:rsidRDefault="00C74DFA" w:rsidP="00896462">
            <w:pPr>
              <w:pStyle w:val="BodyTextIndent"/>
              <w:spacing w:after="0"/>
              <w:ind w:left="0"/>
              <w:rPr>
                <w:rFonts w:ascii="Arial" w:hAnsi="Arial" w:cs="Arial"/>
                <w:sz w:val="24"/>
                <w:szCs w:val="24"/>
              </w:rPr>
            </w:pPr>
            <w:r w:rsidRPr="00C74DFA">
              <w:rPr>
                <w:rFonts w:ascii="Arial" w:hAnsi="Arial" w:cs="Arial"/>
                <w:sz w:val="24"/>
                <w:szCs w:val="24"/>
              </w:rPr>
              <w:t>NI</w:t>
            </w:r>
            <w:r w:rsidRPr="00C74DFA">
              <w:rPr>
                <w:rFonts w:ascii="Arial" w:hAnsi="Arial" w:cs="Arial"/>
                <w:i/>
                <w:sz w:val="24"/>
                <w:szCs w:val="24"/>
              </w:rPr>
              <w:t xml:space="preserve"> </w:t>
            </w:r>
            <w:r w:rsidRPr="00C74DFA">
              <w:rPr>
                <w:rFonts w:ascii="Arial" w:hAnsi="Arial" w:cs="Arial"/>
                <w:sz w:val="24"/>
                <w:szCs w:val="24"/>
              </w:rPr>
              <w:t>General Practitioners Committee</w:t>
            </w:r>
          </w:p>
          <w:p w:rsidR="00C74DFA" w:rsidRPr="00C74DFA" w:rsidRDefault="00C74DFA" w:rsidP="00896462">
            <w:pPr>
              <w:pStyle w:val="BodyTextIndent"/>
              <w:spacing w:after="0"/>
              <w:ind w:left="0"/>
              <w:rPr>
                <w:rFonts w:ascii="Arial" w:hAnsi="Arial" w:cs="Arial"/>
                <w:sz w:val="24"/>
                <w:szCs w:val="24"/>
              </w:rPr>
            </w:pPr>
            <w:r w:rsidRPr="00C74DFA">
              <w:rPr>
                <w:rFonts w:ascii="Arial" w:hAnsi="Arial" w:cs="Arial"/>
                <w:sz w:val="24"/>
                <w:szCs w:val="24"/>
              </w:rPr>
              <w:t>British Medical Association</w:t>
            </w:r>
            <w:r w:rsidRPr="00C74DFA">
              <w:rPr>
                <w:rFonts w:ascii="Arial" w:hAnsi="Arial" w:cs="Arial"/>
                <w:sz w:val="24"/>
                <w:szCs w:val="24"/>
              </w:rPr>
              <w:tab/>
            </w:r>
          </w:p>
          <w:p w:rsidR="00C74DFA" w:rsidRPr="00C74DFA" w:rsidRDefault="00C74DFA" w:rsidP="00896462">
            <w:pPr>
              <w:rPr>
                <w:rFonts w:ascii="Arial" w:hAnsi="Arial" w:cs="Arial"/>
                <w:sz w:val="24"/>
                <w:szCs w:val="24"/>
              </w:rPr>
            </w:pPr>
            <w:r w:rsidRPr="00C74DFA">
              <w:rPr>
                <w:rFonts w:ascii="Arial" w:hAnsi="Arial" w:cs="Arial"/>
                <w:sz w:val="24"/>
                <w:szCs w:val="24"/>
              </w:rPr>
              <w:t>BMA House</w:t>
            </w:r>
          </w:p>
          <w:p w:rsidR="00C74DFA" w:rsidRPr="00C74DFA" w:rsidRDefault="00C74DFA" w:rsidP="00896462">
            <w:pPr>
              <w:rPr>
                <w:rFonts w:ascii="Arial" w:hAnsi="Arial" w:cs="Arial"/>
                <w:sz w:val="24"/>
                <w:szCs w:val="24"/>
              </w:rPr>
            </w:pPr>
            <w:r w:rsidRPr="00C74DFA">
              <w:rPr>
                <w:rFonts w:ascii="Arial" w:hAnsi="Arial" w:cs="Arial"/>
                <w:sz w:val="24"/>
                <w:szCs w:val="24"/>
              </w:rPr>
              <w:t>16 Cromac Place</w:t>
            </w:r>
          </w:p>
          <w:p w:rsidR="00C74DFA" w:rsidRPr="00C74DFA" w:rsidRDefault="00C74DFA" w:rsidP="00896462">
            <w:pPr>
              <w:rPr>
                <w:rFonts w:ascii="Arial" w:hAnsi="Arial" w:cs="Arial"/>
                <w:sz w:val="24"/>
                <w:szCs w:val="24"/>
              </w:rPr>
            </w:pPr>
            <w:r w:rsidRPr="00C74DFA">
              <w:rPr>
                <w:rFonts w:ascii="Arial" w:hAnsi="Arial" w:cs="Arial"/>
                <w:sz w:val="24"/>
                <w:szCs w:val="24"/>
              </w:rPr>
              <w:t>Cromac Wood</w:t>
            </w:r>
          </w:p>
          <w:p w:rsidR="00C74DFA" w:rsidRPr="00C74DFA" w:rsidRDefault="00C74DFA" w:rsidP="00896462">
            <w:pPr>
              <w:rPr>
                <w:rFonts w:ascii="Arial" w:hAnsi="Arial" w:cs="Arial"/>
                <w:sz w:val="24"/>
                <w:szCs w:val="24"/>
              </w:rPr>
            </w:pPr>
            <w:r w:rsidRPr="00C74DFA">
              <w:rPr>
                <w:rFonts w:ascii="Arial" w:hAnsi="Arial" w:cs="Arial"/>
                <w:sz w:val="24"/>
                <w:szCs w:val="24"/>
              </w:rPr>
              <w:t>Ormeau Road</w:t>
            </w:r>
          </w:p>
          <w:p w:rsidR="00C74DFA" w:rsidRPr="00C74DFA" w:rsidRDefault="00C74DFA" w:rsidP="00896462">
            <w:pPr>
              <w:rPr>
                <w:rFonts w:ascii="Arial" w:hAnsi="Arial" w:cs="Arial"/>
                <w:sz w:val="24"/>
                <w:szCs w:val="24"/>
              </w:rPr>
            </w:pPr>
            <w:r w:rsidRPr="00C74DFA">
              <w:rPr>
                <w:rFonts w:ascii="Arial" w:hAnsi="Arial" w:cs="Arial"/>
                <w:sz w:val="24"/>
                <w:szCs w:val="24"/>
              </w:rPr>
              <w:t xml:space="preserve">Belfast </w:t>
            </w:r>
          </w:p>
          <w:p w:rsidR="00C74DFA" w:rsidRPr="00C74DFA" w:rsidRDefault="00C74DFA" w:rsidP="00896462">
            <w:pPr>
              <w:rPr>
                <w:rFonts w:ascii="Arial" w:hAnsi="Arial" w:cs="Arial"/>
                <w:sz w:val="24"/>
                <w:szCs w:val="24"/>
              </w:rPr>
            </w:pPr>
            <w:r w:rsidRPr="00C74DFA">
              <w:rPr>
                <w:rFonts w:ascii="Arial" w:hAnsi="Arial" w:cs="Arial"/>
                <w:sz w:val="24"/>
                <w:szCs w:val="24"/>
              </w:rPr>
              <w:t>BT7 2JB</w:t>
            </w:r>
          </w:p>
          <w:p w:rsidR="00C74DFA" w:rsidRPr="00C74DFA" w:rsidRDefault="00C74DFA" w:rsidP="00896462">
            <w:pPr>
              <w:rPr>
                <w:rFonts w:ascii="Arial" w:hAnsi="Arial" w:cs="Arial"/>
                <w:sz w:val="24"/>
                <w:szCs w:val="24"/>
              </w:rPr>
            </w:pPr>
          </w:p>
        </w:tc>
        <w:tc>
          <w:tcPr>
            <w:tcW w:w="3513" w:type="dxa"/>
          </w:tcPr>
          <w:p w:rsidR="00C74DFA" w:rsidRDefault="00C74DFA" w:rsidP="00896462">
            <w:pPr>
              <w:rPr>
                <w:rFonts w:ascii="Arial" w:hAnsi="Arial" w:cs="Arial"/>
              </w:rPr>
            </w:pPr>
            <w:r>
              <w:rPr>
                <w:rFonts w:ascii="Arial" w:hAnsi="Arial" w:cs="Arial"/>
              </w:rPr>
              <w:t>Room D4.16</w:t>
            </w:r>
          </w:p>
          <w:p w:rsidR="00C74DFA" w:rsidRDefault="00C74DFA" w:rsidP="00896462">
            <w:pPr>
              <w:rPr>
                <w:rFonts w:ascii="Arial" w:hAnsi="Arial" w:cs="Arial"/>
              </w:rPr>
            </w:pPr>
            <w:r>
              <w:rPr>
                <w:rFonts w:ascii="Arial" w:hAnsi="Arial" w:cs="Arial"/>
              </w:rPr>
              <w:t>Castle Buildings</w:t>
            </w:r>
          </w:p>
          <w:p w:rsidR="00C74DFA" w:rsidRDefault="00C74DFA" w:rsidP="00896462">
            <w:pPr>
              <w:rPr>
                <w:rFonts w:ascii="Arial" w:hAnsi="Arial" w:cs="Arial"/>
              </w:rPr>
            </w:pPr>
            <w:r>
              <w:rPr>
                <w:rFonts w:ascii="Arial" w:hAnsi="Arial" w:cs="Arial"/>
              </w:rPr>
              <w:t>Stormont  BELFAST  BT4 3SQ</w:t>
            </w:r>
          </w:p>
          <w:p w:rsidR="00C74DFA" w:rsidRDefault="00C74DFA" w:rsidP="00896462">
            <w:pPr>
              <w:rPr>
                <w:rFonts w:ascii="Arial" w:hAnsi="Arial" w:cs="Arial"/>
              </w:rPr>
            </w:pPr>
            <w:r>
              <w:rPr>
                <w:rFonts w:ascii="Arial" w:hAnsi="Arial" w:cs="Arial"/>
              </w:rPr>
              <w:t xml:space="preserve">Tel:  028 90522123 </w:t>
            </w:r>
          </w:p>
          <w:p w:rsidR="00C74DFA" w:rsidRDefault="00C74DFA" w:rsidP="00896462">
            <w:pPr>
              <w:rPr>
                <w:rFonts w:ascii="Arial" w:hAnsi="Arial" w:cs="Arial"/>
              </w:rPr>
            </w:pPr>
            <w:r>
              <w:rPr>
                <w:rFonts w:ascii="Arial" w:hAnsi="Arial" w:cs="Arial"/>
              </w:rPr>
              <w:t xml:space="preserve">Fax: 028 90523425 </w:t>
            </w:r>
          </w:p>
          <w:p w:rsidR="00C74DFA" w:rsidRPr="0048407C" w:rsidRDefault="00C74DFA" w:rsidP="00896462">
            <w:pPr>
              <w:rPr>
                <w:rFonts w:ascii="Arial" w:hAnsi="Arial" w:cs="Arial"/>
                <w:sz w:val="18"/>
                <w:szCs w:val="18"/>
              </w:rPr>
            </w:pPr>
            <w:r>
              <w:rPr>
                <w:rFonts w:ascii="Arial" w:hAnsi="Arial" w:cs="Arial"/>
              </w:rPr>
              <w:t xml:space="preserve">Email: </w:t>
            </w:r>
            <w:r>
              <w:rPr>
                <w:rFonts w:ascii="Arial" w:hAnsi="Arial" w:cs="Arial"/>
                <w:sz w:val="18"/>
                <w:szCs w:val="18"/>
              </w:rPr>
              <w:t>eugene.rooney</w:t>
            </w:r>
            <w:r w:rsidRPr="0048407C">
              <w:rPr>
                <w:rFonts w:ascii="Arial" w:hAnsi="Arial" w:cs="Arial"/>
                <w:sz w:val="18"/>
                <w:szCs w:val="18"/>
              </w:rPr>
              <w:t>@dhsspsni.gov.uk</w:t>
            </w:r>
          </w:p>
          <w:p w:rsidR="00C74DFA" w:rsidRDefault="00C74DFA" w:rsidP="00896462">
            <w:pPr>
              <w:rPr>
                <w:rFonts w:ascii="Arial" w:hAnsi="Arial" w:cs="Arial"/>
              </w:rPr>
            </w:pPr>
          </w:p>
          <w:p w:rsidR="00C74DFA" w:rsidRDefault="00C74DFA" w:rsidP="00896462">
            <w:pPr>
              <w:rPr>
                <w:rFonts w:ascii="Arial" w:hAnsi="Arial" w:cs="Arial"/>
              </w:rPr>
            </w:pPr>
            <w:r>
              <w:rPr>
                <w:rFonts w:ascii="Arial" w:hAnsi="Arial" w:cs="Arial"/>
              </w:rPr>
              <w:t>Your Ref:</w:t>
            </w:r>
            <w:r>
              <w:rPr>
                <w:rFonts w:ascii="Arial" w:hAnsi="Arial" w:cs="Arial"/>
              </w:rPr>
              <w:tab/>
            </w:r>
          </w:p>
          <w:p w:rsidR="00C74DFA" w:rsidRDefault="00C74DFA" w:rsidP="00896462">
            <w:pPr>
              <w:rPr>
                <w:rFonts w:ascii="Arial" w:hAnsi="Arial" w:cs="Arial"/>
              </w:rPr>
            </w:pPr>
            <w:r>
              <w:rPr>
                <w:rFonts w:ascii="Arial" w:hAnsi="Arial" w:cs="Arial"/>
              </w:rPr>
              <w:t>Our Ref:</w:t>
            </w:r>
            <w:r>
              <w:rPr>
                <w:rFonts w:ascii="Arial" w:hAnsi="Arial" w:cs="Arial"/>
              </w:rPr>
              <w:tab/>
              <w:t xml:space="preserve">DH1/13/ </w:t>
            </w:r>
          </w:p>
          <w:p w:rsidR="00C74DFA" w:rsidRDefault="00C74DFA" w:rsidP="00896462">
            <w:pPr>
              <w:rPr>
                <w:rFonts w:ascii="Arial" w:hAnsi="Arial" w:cs="Arial"/>
              </w:rPr>
            </w:pPr>
            <w:r>
              <w:rPr>
                <w:rFonts w:ascii="Arial" w:hAnsi="Arial" w:cs="Arial"/>
              </w:rPr>
              <w:t>Date:</w:t>
            </w:r>
            <w:r>
              <w:rPr>
                <w:rFonts w:ascii="Arial" w:hAnsi="Arial" w:cs="Arial"/>
              </w:rPr>
              <w:tab/>
            </w:r>
            <w:r>
              <w:rPr>
                <w:rFonts w:ascii="Arial" w:hAnsi="Arial" w:cs="Arial"/>
              </w:rPr>
              <w:tab/>
              <w:t>29 January 2013</w:t>
            </w:r>
          </w:p>
          <w:p w:rsidR="00C74DFA" w:rsidRDefault="00C74DFA" w:rsidP="00896462">
            <w:pPr>
              <w:rPr>
                <w:rFonts w:ascii="Arial" w:hAnsi="Arial" w:cs="Arial"/>
              </w:rPr>
            </w:pPr>
          </w:p>
        </w:tc>
      </w:tr>
    </w:tbl>
    <w:p w:rsidR="00C74DFA" w:rsidRPr="00D238EB" w:rsidRDefault="00C74DFA" w:rsidP="00C74DFA">
      <w:pPr>
        <w:rPr>
          <w:rFonts w:ascii="Arial" w:hAnsi="Arial" w:cs="Arial"/>
        </w:rPr>
      </w:pPr>
    </w:p>
    <w:p w:rsidR="00C74DFA" w:rsidRPr="00C74DFA" w:rsidRDefault="00C74DFA" w:rsidP="00C74DFA">
      <w:pPr>
        <w:rPr>
          <w:rFonts w:ascii="Arial" w:hAnsi="Arial" w:cs="Arial"/>
          <w:sz w:val="24"/>
          <w:szCs w:val="24"/>
        </w:rPr>
      </w:pPr>
      <w:r w:rsidRPr="00C74DFA">
        <w:rPr>
          <w:rFonts w:ascii="Arial" w:hAnsi="Arial" w:cs="Arial"/>
          <w:sz w:val="24"/>
          <w:szCs w:val="24"/>
        </w:rPr>
        <w:t>Dear Dr Black</w:t>
      </w:r>
    </w:p>
    <w:p w:rsidR="00C74DFA" w:rsidRPr="00C74DFA" w:rsidRDefault="00C74DFA" w:rsidP="00C74DFA">
      <w:pPr>
        <w:rPr>
          <w:rFonts w:ascii="Arial" w:hAnsi="Arial" w:cs="Arial"/>
          <w:sz w:val="24"/>
          <w:szCs w:val="24"/>
        </w:rPr>
      </w:pPr>
    </w:p>
    <w:p w:rsidR="00C74DFA" w:rsidRPr="00C74DFA" w:rsidRDefault="00C74DFA" w:rsidP="00C74DFA">
      <w:pPr>
        <w:pStyle w:val="Heading1"/>
        <w:rPr>
          <w:rFonts w:ascii="Arial" w:hAnsi="Arial" w:cs="Arial"/>
          <w:sz w:val="24"/>
          <w:szCs w:val="24"/>
        </w:rPr>
      </w:pPr>
      <w:r w:rsidRPr="00C74DFA">
        <w:rPr>
          <w:rFonts w:ascii="Arial" w:hAnsi="Arial" w:cs="Arial"/>
          <w:sz w:val="24"/>
          <w:szCs w:val="24"/>
        </w:rPr>
        <w:t>General Medical Services – Contractual Changes 2013/2014</w:t>
      </w:r>
    </w:p>
    <w:p w:rsidR="00C74DFA" w:rsidRPr="00C74DFA" w:rsidRDefault="00C74DFA" w:rsidP="00C74DFA">
      <w:pPr>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Further to my letter dated 24</w:t>
      </w:r>
      <w:r w:rsidRPr="00C74DFA">
        <w:rPr>
          <w:rFonts w:ascii="Arial" w:hAnsi="Arial" w:cs="Arial"/>
          <w:sz w:val="24"/>
          <w:szCs w:val="24"/>
          <w:vertAlign w:val="superscript"/>
        </w:rPr>
        <w:t>th</w:t>
      </w:r>
      <w:r w:rsidRPr="00C74DFA">
        <w:rPr>
          <w:rFonts w:ascii="Arial" w:hAnsi="Arial" w:cs="Arial"/>
          <w:sz w:val="24"/>
          <w:szCs w:val="24"/>
        </w:rPr>
        <w:t xml:space="preserve"> October, which explained our commitment to pursue changes to the General Medical Service Contract for April 2013, should no satisfactory negotiated agreement be able to be reached, I am now writing to provide you with a draft of the proposed revised Statement of Financial Entitlement that would apply for 2013/14. This should provide sufficient time to consult with GPC Northern Ireland on the details of the changes to directions which are attached to this letter.  </w:t>
      </w:r>
    </w:p>
    <w:p w:rsidR="00C74DFA" w:rsidRPr="00C74DFA" w:rsidRDefault="00C74DFA" w:rsidP="00C74DFA">
      <w:pPr>
        <w:rPr>
          <w:rFonts w:ascii="Arial" w:hAnsi="Arial" w:cs="Arial"/>
          <w:sz w:val="24"/>
          <w:szCs w:val="24"/>
        </w:rPr>
      </w:pPr>
    </w:p>
    <w:p w:rsidR="00C74DFA" w:rsidRPr="00C74DFA" w:rsidRDefault="00C74DFA" w:rsidP="00C74DFA">
      <w:pPr>
        <w:rPr>
          <w:sz w:val="24"/>
          <w:szCs w:val="24"/>
        </w:rPr>
      </w:pPr>
      <w:r w:rsidRPr="00C74DFA">
        <w:rPr>
          <w:rFonts w:ascii="Arial" w:hAnsi="Arial" w:cs="Arial"/>
          <w:sz w:val="24"/>
          <w:szCs w:val="24"/>
        </w:rPr>
        <w:t>I should emphasise that the proposed changes are intended to maintain current levels of investment in General Practice.  The majority of the proposed changes focus on specific changes to the Quality and Outcomes Framework (QOF).  The proposed changes include the following:</w:t>
      </w:r>
      <w:r w:rsidRPr="00C74DFA">
        <w:rPr>
          <w:sz w:val="24"/>
          <w:szCs w:val="24"/>
        </w:rPr>
        <w:t xml:space="preserve"> </w:t>
      </w:r>
    </w:p>
    <w:p w:rsidR="00C74DFA" w:rsidRPr="00C74DFA" w:rsidRDefault="00C74DFA" w:rsidP="00C74DFA">
      <w:pPr>
        <w:rPr>
          <w:sz w:val="24"/>
          <w:szCs w:val="24"/>
        </w:rPr>
      </w:pPr>
    </w:p>
    <w:p w:rsidR="00C74DFA" w:rsidRPr="00C74DFA" w:rsidRDefault="00C74DFA" w:rsidP="00C74DFA">
      <w:pPr>
        <w:numPr>
          <w:ilvl w:val="0"/>
          <w:numId w:val="17"/>
        </w:numPr>
        <w:rPr>
          <w:rFonts w:ascii="Arial" w:hAnsi="Arial" w:cs="Arial"/>
          <w:sz w:val="24"/>
          <w:szCs w:val="24"/>
        </w:rPr>
      </w:pPr>
      <w:r w:rsidRPr="00C74DFA">
        <w:rPr>
          <w:rFonts w:ascii="Arial" w:hAnsi="Arial" w:cs="Arial"/>
          <w:sz w:val="24"/>
          <w:szCs w:val="24"/>
        </w:rPr>
        <w:t>invite the Doctors and Dentists Review Body (DDRB), as GPC has proposed, to make a recommendation on uplift and, following consideration of their recommendation, reach a decision on GP pay and practice expenses of up to 1.5%;</w:t>
      </w:r>
    </w:p>
    <w:p w:rsidR="00C74DFA" w:rsidRPr="00C74DFA" w:rsidRDefault="00C74DFA" w:rsidP="00C74DFA">
      <w:pPr>
        <w:ind w:left="720"/>
        <w:rPr>
          <w:rFonts w:ascii="Arial" w:hAnsi="Arial" w:cs="Arial"/>
          <w:sz w:val="24"/>
          <w:szCs w:val="24"/>
        </w:rPr>
      </w:pPr>
    </w:p>
    <w:p w:rsidR="00C74DFA" w:rsidRPr="00C74DFA" w:rsidRDefault="00C74DFA" w:rsidP="00C74DFA">
      <w:pPr>
        <w:numPr>
          <w:ilvl w:val="0"/>
          <w:numId w:val="17"/>
        </w:numPr>
        <w:rPr>
          <w:rFonts w:ascii="Arial" w:hAnsi="Arial" w:cs="Arial"/>
          <w:sz w:val="24"/>
          <w:szCs w:val="24"/>
        </w:rPr>
      </w:pPr>
      <w:r w:rsidRPr="00C74DFA">
        <w:rPr>
          <w:rFonts w:ascii="Arial" w:hAnsi="Arial" w:cs="Arial"/>
          <w:sz w:val="24"/>
          <w:szCs w:val="24"/>
        </w:rPr>
        <w:t xml:space="preserve">deliver equitable core funding between GP practices over a seven year period starting in April 2014 to reflect the proposals that GPC and NHS Employers have developed. The Department welcomes the progress that has been made in identifying a new approach to achieving equitable core funding for GP practices. The Department is content to accept the suggested approach of phasing the changes from  2014/15; </w:t>
      </w:r>
    </w:p>
    <w:p w:rsidR="00C74DFA" w:rsidRPr="00C74DFA" w:rsidRDefault="00C74DFA" w:rsidP="00C74DFA">
      <w:pPr>
        <w:rPr>
          <w:rFonts w:ascii="Arial" w:hAnsi="Arial" w:cs="Arial"/>
          <w:sz w:val="24"/>
          <w:szCs w:val="24"/>
        </w:rPr>
      </w:pPr>
    </w:p>
    <w:p w:rsidR="00C74DFA" w:rsidRPr="00C74DFA" w:rsidRDefault="00C74DFA" w:rsidP="00C74DFA">
      <w:pPr>
        <w:numPr>
          <w:ilvl w:val="0"/>
          <w:numId w:val="17"/>
        </w:numPr>
        <w:rPr>
          <w:rFonts w:ascii="Arial" w:hAnsi="Arial" w:cs="Arial"/>
          <w:sz w:val="24"/>
          <w:szCs w:val="24"/>
        </w:rPr>
      </w:pPr>
      <w:r w:rsidRPr="00C74DFA">
        <w:rPr>
          <w:rFonts w:ascii="Arial" w:hAnsi="Arial" w:cs="Arial"/>
          <w:sz w:val="24"/>
          <w:szCs w:val="24"/>
        </w:rPr>
        <w:t>incorporate the changes that GPC have indicated they would accept to the Quality and Outcomes Framework (QOF), and also introduce the majority of the new or replacement clinical indicators recommended by the National Institute of Health and Clinical Excellence (NICE); and raise QOF thresholds so that more patients benefit from care that enhances quality of life and reduces mortality; and</w:t>
      </w:r>
    </w:p>
    <w:p w:rsidR="00C74DFA" w:rsidRPr="00C74DFA" w:rsidRDefault="00C74DFA" w:rsidP="00C74DFA">
      <w:pPr>
        <w:rPr>
          <w:rFonts w:ascii="Arial" w:hAnsi="Arial" w:cs="Arial"/>
          <w:sz w:val="24"/>
          <w:szCs w:val="24"/>
        </w:rPr>
      </w:pPr>
    </w:p>
    <w:p w:rsidR="00C74DFA" w:rsidRPr="00C74DFA" w:rsidRDefault="00C74DFA" w:rsidP="00C74DFA">
      <w:pPr>
        <w:numPr>
          <w:ilvl w:val="0"/>
          <w:numId w:val="17"/>
        </w:numPr>
        <w:rPr>
          <w:rFonts w:ascii="Arial" w:hAnsi="Arial" w:cs="Arial"/>
          <w:sz w:val="24"/>
          <w:szCs w:val="24"/>
        </w:rPr>
      </w:pPr>
      <w:r w:rsidRPr="00C74DFA">
        <w:rPr>
          <w:rFonts w:ascii="Arial" w:hAnsi="Arial" w:cs="Arial"/>
          <w:sz w:val="24"/>
          <w:szCs w:val="24"/>
        </w:rPr>
        <w:lastRenderedPageBreak/>
        <w:t>discontinue QOF Organisational Domain indicators which the Department considers reflect basic standards of good organisational practice that should not need financial incentives, and use the resources released from these indicators to help pay for the additional QOF indicators recommended by NICE.</w:t>
      </w:r>
    </w:p>
    <w:p w:rsidR="00C74DFA" w:rsidRPr="00C74DFA" w:rsidRDefault="00C74DFA" w:rsidP="00C74DFA">
      <w:pPr>
        <w:rPr>
          <w:rFonts w:ascii="Arial" w:hAnsi="Arial" w:cs="Arial"/>
          <w:sz w:val="24"/>
          <w:szCs w:val="24"/>
        </w:rPr>
      </w:pPr>
    </w:p>
    <w:p w:rsidR="00C74DFA" w:rsidRPr="00C74DFA" w:rsidRDefault="00C74DFA" w:rsidP="00C74DFA">
      <w:pPr>
        <w:autoSpaceDE w:val="0"/>
        <w:autoSpaceDN w:val="0"/>
        <w:adjustRightInd w:val="0"/>
        <w:rPr>
          <w:rFonts w:ascii="Arial" w:hAnsi="Arial" w:cs="Arial"/>
          <w:sz w:val="24"/>
          <w:szCs w:val="24"/>
        </w:rPr>
      </w:pPr>
      <w:r w:rsidRPr="00C74DFA">
        <w:rPr>
          <w:rFonts w:ascii="Arial" w:hAnsi="Arial" w:cs="Arial"/>
          <w:sz w:val="24"/>
          <w:szCs w:val="24"/>
        </w:rPr>
        <w:t xml:space="preserve">It is not proposed to make changes to the QOF review dates, however, this will be dependent on further discussions regarding the capacity for software suppliers to apply different business rules for NI within required timescales and reasonable costs. A full explanation of the details of the changes we propose is provided in </w:t>
      </w:r>
      <w:r w:rsidRPr="00C74DFA">
        <w:rPr>
          <w:rFonts w:ascii="Arial" w:hAnsi="Arial" w:cs="Arial"/>
          <w:bCs/>
          <w:sz w:val="24"/>
          <w:szCs w:val="24"/>
        </w:rPr>
        <w:t>Annex A</w:t>
      </w:r>
      <w:r w:rsidRPr="00C74DFA">
        <w:rPr>
          <w:rFonts w:ascii="Arial" w:hAnsi="Arial" w:cs="Arial"/>
          <w:sz w:val="24"/>
          <w:szCs w:val="24"/>
        </w:rPr>
        <w:t xml:space="preserve">.  </w:t>
      </w:r>
    </w:p>
    <w:p w:rsidR="00C74DFA" w:rsidRPr="00C74DFA" w:rsidRDefault="00C74DFA" w:rsidP="00C74DFA">
      <w:pPr>
        <w:autoSpaceDE w:val="0"/>
        <w:autoSpaceDN w:val="0"/>
        <w:adjustRightInd w:val="0"/>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It is important to emphasise the need for all sectors of Health and Social Care, including General Practice, to be fully committed to the Minister’s reforms to be taken forward through the delivery of Transforming Your Care (TYC). The Quality and Outcomes Framework (QOF) within the Contract is aimed at resourcing and rewarding quality care and it is through this work that all GPs can help contribute to delivering TYC, specifically through the achievement of the Quality and Productivity Indicators and the reduction of hospital attendances and admissions; and via the achievement of the Clinical Indicators and the management of long term conditions, ensuring that patients are cared for in the most appropriate setting.  The involvement of General Practice is essential to the successful implementation of these reforms and the delivery of safe and effective Health and Social Care services.</w:t>
      </w:r>
    </w:p>
    <w:p w:rsidR="00C74DFA" w:rsidRPr="00C74DFA" w:rsidRDefault="00C74DFA" w:rsidP="00C74DFA">
      <w:pPr>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In addition, and in support of TYC, there is the need to ensure that General Practice is fully engaged in the provision of appropriate Connected Health solutions. The benefits to the Health and Social Care Services of Connected Health solutions are potentially significant with the provision of better information on the patient enabling health care professionals to provide more effective and co-ordinated care, and for patients to manage better their own conditions. It provides scope for managing aspects of the increasing burden of chronic disease which could help reduce the pressures on health and social care services. General Practice should be adopting Connected Health solutions where appropriate to improve the quality of care to patients and reduce avoidable pressures on the health system.</w:t>
      </w:r>
    </w:p>
    <w:p w:rsidR="00C74DFA" w:rsidRPr="00C74DFA" w:rsidRDefault="00C74DFA" w:rsidP="00C74DFA">
      <w:pPr>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In this context, we will work to link Connected Health directly to the provision of specific enhanced services aimed at improved chronic condition management. This will be progressed through the development of the Clinical Priorities for 2013/14.</w:t>
      </w:r>
    </w:p>
    <w:p w:rsidR="00C74DFA" w:rsidRPr="00C74DFA" w:rsidRDefault="00C74DFA" w:rsidP="00C74DFA">
      <w:pPr>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The Department is hopeful that an acceptable agreement can be reached with GPC in relation to these proposed changes. In the absence of such an agreement, however, and subject to the outcome of the consultation process, the Department would propose to introduce the changes detailed in this letter. The Department will be guided by the principle of allowing contractual arrangements for GPs to evolve in ways that: reflect best, evidence-based practice; improve health outcomes; reduce inequalities; empower patients; and promote local clinical leadership and innovation.</w:t>
      </w:r>
    </w:p>
    <w:p w:rsidR="00C74DFA" w:rsidRPr="00C74DFA" w:rsidRDefault="00C74DFA" w:rsidP="00C74DFA">
      <w:pPr>
        <w:rPr>
          <w:rFonts w:ascii="Arial" w:hAnsi="Arial" w:cs="Arial"/>
          <w:sz w:val="24"/>
          <w:szCs w:val="24"/>
        </w:rPr>
      </w:pPr>
    </w:p>
    <w:p w:rsidR="00C74DFA" w:rsidRPr="00C74DFA" w:rsidRDefault="00C74DFA" w:rsidP="00C74DFA">
      <w:pPr>
        <w:autoSpaceDE w:val="0"/>
        <w:autoSpaceDN w:val="0"/>
        <w:adjustRightInd w:val="0"/>
        <w:rPr>
          <w:rFonts w:ascii="Arial" w:hAnsi="Arial" w:cs="Arial"/>
          <w:sz w:val="24"/>
          <w:szCs w:val="24"/>
        </w:rPr>
      </w:pPr>
      <w:r w:rsidRPr="00C74DFA">
        <w:rPr>
          <w:rFonts w:ascii="Arial" w:hAnsi="Arial" w:cs="Arial"/>
          <w:sz w:val="24"/>
          <w:szCs w:val="24"/>
        </w:rPr>
        <w:t xml:space="preserve">The Department understands that the NHS Employers has consulted with the GPC on each of the changes proposed in line with the mandate given by the Department.  We are satisfied that, in doing so, NHS Employers has listened </w:t>
      </w:r>
      <w:r w:rsidRPr="00C74DFA">
        <w:rPr>
          <w:rFonts w:ascii="Arial" w:hAnsi="Arial" w:cs="Arial"/>
          <w:sz w:val="24"/>
          <w:szCs w:val="24"/>
        </w:rPr>
        <w:lastRenderedPageBreak/>
        <w:t xml:space="preserve">to, responded to and fully considered alternative proposals put forward by the GPC.  After careful consideration and having studied the records of past meetings and correspondence between NHSE and GPC negotiators on each of these issues, the Department considers that it is now reasonable, in the absence of an agreed settlement, for the Department to consult on the proposed changes set out in this letter and attachments.  </w:t>
      </w:r>
    </w:p>
    <w:p w:rsidR="00C74DFA" w:rsidRPr="00C74DFA" w:rsidRDefault="00C74DFA" w:rsidP="00C74DFA">
      <w:pPr>
        <w:autoSpaceDE w:val="0"/>
        <w:autoSpaceDN w:val="0"/>
        <w:adjustRightInd w:val="0"/>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 xml:space="preserve">The changes that the Department proposes to introduce from 1 April 2013 would require changes to the Statement of Financial Entitlements, but not to the Health and Personal Social Services (General Medical Services Contracts) Regulations (Northern Ireland) 2004.  I attach at Annex B a draft Statement of Financial Entitlements which identifies the proposed changes for 2013/14.  These amendments do not yet take account of any uprating of investment to GMS contractors for 2013/14 as these will now depend on the decisions that will be made following the request from the BMA that the Doctors and Dentists Review Body make recommendations on the gross uplift to apply.  The uplift once approved would be applied to Global Sum payments made to GMS contractors, along with a minimum uprate to current Global Sum Equivalent payments to GMS practices.  </w:t>
      </w:r>
    </w:p>
    <w:p w:rsidR="00C74DFA" w:rsidRPr="00C74DFA" w:rsidRDefault="00C74DFA" w:rsidP="00C74DFA">
      <w:pPr>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 xml:space="preserve">The Department would be willing to have further discussions on the changes proposed in these documents.  In the absence of an acceptable agreement being reached, and subject to considering the outcome of the consultation on the attached directions, it is proposed to introduce the changes described in this letter so as to support ongoing improvements in patient care and services.  </w:t>
      </w:r>
    </w:p>
    <w:p w:rsidR="00C74DFA" w:rsidRPr="00C74DFA" w:rsidRDefault="00C74DFA" w:rsidP="00C74DFA">
      <w:pPr>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 xml:space="preserve">We are willing to meet with you, together with the HSC Board, with whom we will also be consulting. It is important to note however that the consultation on these proposals will close on 22nd March 2013.  The Department will then consider any representation made during the consultation period and will then make final decisions, to allow GP contractual changes to be made to come into effect from April 2013. </w:t>
      </w:r>
    </w:p>
    <w:p w:rsidR="00C74DFA" w:rsidRPr="00C74DFA" w:rsidRDefault="00C74DFA" w:rsidP="00C74DFA">
      <w:pPr>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 xml:space="preserve">I am copying this letter to Frank Strang, Lisa Dunsford, Richard Armstrong and Stephen Golledge. </w:t>
      </w:r>
    </w:p>
    <w:p w:rsidR="00C74DFA" w:rsidRPr="00C74DFA" w:rsidRDefault="00C74DFA" w:rsidP="00C74DFA">
      <w:pPr>
        <w:rPr>
          <w:rFonts w:ascii="Arial" w:hAnsi="Arial" w:cs="Arial"/>
          <w:sz w:val="24"/>
          <w:szCs w:val="24"/>
        </w:rPr>
      </w:pPr>
    </w:p>
    <w:p w:rsidR="00C74DFA" w:rsidRPr="00C74DFA" w:rsidRDefault="00C74DFA" w:rsidP="00C74DFA">
      <w:pPr>
        <w:rPr>
          <w:rFonts w:ascii="Arial" w:hAnsi="Arial" w:cs="Arial"/>
          <w:sz w:val="24"/>
          <w:szCs w:val="24"/>
        </w:rPr>
      </w:pPr>
      <w:r w:rsidRPr="00C74DFA">
        <w:rPr>
          <w:rFonts w:ascii="Arial" w:hAnsi="Arial" w:cs="Arial"/>
          <w:sz w:val="24"/>
          <w:szCs w:val="24"/>
        </w:rPr>
        <w:t>Yours sincerely</w:t>
      </w:r>
    </w:p>
    <w:p w:rsidR="00C74DFA" w:rsidRPr="00C74DFA" w:rsidRDefault="00C74DFA" w:rsidP="00C74DFA">
      <w:pPr>
        <w:pStyle w:val="Header"/>
        <w:rPr>
          <w:rFonts w:cs="Arial"/>
          <w:szCs w:val="24"/>
        </w:rPr>
      </w:pPr>
    </w:p>
    <w:p w:rsidR="00C74DFA" w:rsidRPr="00C74DFA" w:rsidRDefault="00E04FE9" w:rsidP="00C74DFA">
      <w:pPr>
        <w:pStyle w:val="Header"/>
        <w:rPr>
          <w:rFonts w:cs="Arial"/>
          <w:szCs w:val="24"/>
        </w:rPr>
      </w:pPr>
      <w:r>
        <w:rPr>
          <w:rFonts w:cs="Arial"/>
        </w:rPr>
        <w:drawing>
          <wp:inline distT="0" distB="0" distL="0" distR="0">
            <wp:extent cx="19431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inline>
        </w:drawing>
      </w:r>
    </w:p>
    <w:p w:rsidR="00C74DFA" w:rsidRPr="00C74DFA" w:rsidRDefault="00C74DFA" w:rsidP="00C74DFA">
      <w:pPr>
        <w:pStyle w:val="Header"/>
        <w:rPr>
          <w:rFonts w:cs="Arial"/>
          <w:szCs w:val="24"/>
        </w:rPr>
      </w:pPr>
    </w:p>
    <w:p w:rsidR="00C74DFA" w:rsidRPr="00C74DFA" w:rsidRDefault="00C74DFA" w:rsidP="00C74DFA">
      <w:pPr>
        <w:pStyle w:val="Header"/>
        <w:rPr>
          <w:rFonts w:cs="Arial"/>
          <w:szCs w:val="24"/>
        </w:rPr>
      </w:pPr>
    </w:p>
    <w:p w:rsidR="00C74DFA" w:rsidRPr="00C74DFA" w:rsidRDefault="00C74DFA" w:rsidP="00C74DFA">
      <w:pPr>
        <w:pStyle w:val="Header"/>
        <w:rPr>
          <w:rFonts w:cs="Arial"/>
          <w:szCs w:val="24"/>
        </w:rPr>
      </w:pPr>
    </w:p>
    <w:p w:rsidR="00C74DFA" w:rsidRPr="00C74DFA" w:rsidRDefault="00C74DFA" w:rsidP="00C74DFA">
      <w:pPr>
        <w:pStyle w:val="Heading1"/>
        <w:rPr>
          <w:rFonts w:ascii="Arial" w:hAnsi="Arial" w:cs="Arial"/>
          <w:sz w:val="24"/>
          <w:szCs w:val="24"/>
        </w:rPr>
      </w:pPr>
      <w:r w:rsidRPr="00C74DFA">
        <w:rPr>
          <w:rFonts w:ascii="Arial" w:hAnsi="Arial" w:cs="Arial"/>
          <w:sz w:val="24"/>
          <w:szCs w:val="24"/>
        </w:rPr>
        <w:t>EUGENE ROONEY</w:t>
      </w:r>
    </w:p>
    <w:p w:rsidR="00C74DFA" w:rsidRPr="00C74DFA" w:rsidRDefault="00C74DFA" w:rsidP="00C74DFA">
      <w:pPr>
        <w:pStyle w:val="Header"/>
        <w:ind w:right="849"/>
        <w:rPr>
          <w:rFonts w:cs="Arial"/>
          <w:bCs/>
          <w:szCs w:val="24"/>
        </w:rPr>
      </w:pPr>
      <w:r w:rsidRPr="00C74DFA">
        <w:rPr>
          <w:rFonts w:cs="Arial"/>
          <w:bCs/>
          <w:szCs w:val="24"/>
        </w:rPr>
        <w:t xml:space="preserve">Director of Primary Care </w:t>
      </w:r>
    </w:p>
    <w:p w:rsidR="00C74DFA" w:rsidRDefault="00C74DFA" w:rsidP="00C74DFA">
      <w:pPr>
        <w:pStyle w:val="Header"/>
        <w:ind w:right="849"/>
        <w:rPr>
          <w:rFonts w:cs="Arial"/>
          <w:b/>
          <w:bCs/>
        </w:rPr>
      </w:pPr>
    </w:p>
    <w:p w:rsidR="00645A76" w:rsidRPr="00D238EB" w:rsidRDefault="00645A76" w:rsidP="00645A76">
      <w:pPr>
        <w:jc w:val="right"/>
        <w:rPr>
          <w:rFonts w:ascii="Arial" w:hAnsi="Arial" w:cs="Arial"/>
          <w:b/>
          <w:bCs/>
          <w:sz w:val="24"/>
          <w:szCs w:val="24"/>
        </w:rPr>
      </w:pPr>
      <w:r>
        <w:rPr>
          <w:rFonts w:ascii="Arial" w:hAnsi="Arial" w:cs="Arial"/>
          <w:b/>
          <w:bCs/>
          <w:sz w:val="24"/>
          <w:szCs w:val="24"/>
        </w:rPr>
        <w:br w:type="page"/>
      </w:r>
      <w:r w:rsidRPr="00D238EB">
        <w:rPr>
          <w:rFonts w:ascii="Arial" w:hAnsi="Arial" w:cs="Arial"/>
          <w:b/>
          <w:bCs/>
          <w:sz w:val="24"/>
          <w:szCs w:val="24"/>
        </w:rPr>
        <w:lastRenderedPageBreak/>
        <w:t>Annex A</w:t>
      </w:r>
    </w:p>
    <w:p w:rsidR="00645A76" w:rsidRPr="00D238EB" w:rsidRDefault="00645A76" w:rsidP="00645A76">
      <w:pPr>
        <w:rPr>
          <w:rFonts w:ascii="Arial" w:hAnsi="Arial" w:cs="Arial"/>
          <w:sz w:val="24"/>
          <w:szCs w:val="24"/>
        </w:rPr>
      </w:pPr>
    </w:p>
    <w:p w:rsidR="00645A76" w:rsidRPr="00D238EB" w:rsidRDefault="00645A76" w:rsidP="00645A76">
      <w:pPr>
        <w:rPr>
          <w:rFonts w:ascii="Arial" w:hAnsi="Arial" w:cs="Arial"/>
          <w:sz w:val="24"/>
          <w:szCs w:val="24"/>
        </w:rPr>
      </w:pPr>
      <w:r w:rsidRPr="00D238EB">
        <w:rPr>
          <w:rFonts w:ascii="Arial" w:hAnsi="Arial" w:cs="Arial"/>
          <w:b/>
          <w:bCs/>
          <w:sz w:val="24"/>
          <w:szCs w:val="24"/>
          <w:u w:val="single"/>
        </w:rPr>
        <w:t>Explanation of the proposed GMS Contract Changes</w:t>
      </w:r>
    </w:p>
    <w:p w:rsidR="00645A76" w:rsidRDefault="00645A76" w:rsidP="00645A76">
      <w:pPr>
        <w:rPr>
          <w:rFonts w:ascii="Arial" w:hAnsi="Arial" w:cs="Arial"/>
          <w:sz w:val="24"/>
          <w:szCs w:val="24"/>
        </w:rPr>
      </w:pPr>
    </w:p>
    <w:p w:rsidR="00645A76" w:rsidRPr="00581334" w:rsidRDefault="00645A76" w:rsidP="00645A76">
      <w:pPr>
        <w:jc w:val="both"/>
        <w:rPr>
          <w:rFonts w:ascii="Arial" w:hAnsi="Arial" w:cs="Arial"/>
          <w:b/>
          <w:bCs/>
          <w:sz w:val="24"/>
          <w:szCs w:val="24"/>
        </w:rPr>
      </w:pPr>
      <w:r w:rsidRPr="00D238EB" w:rsidDel="00BA4DC8">
        <w:rPr>
          <w:b/>
          <w:bCs/>
        </w:rPr>
        <w:t xml:space="preserve"> </w:t>
      </w:r>
      <w:r w:rsidRPr="00581334">
        <w:rPr>
          <w:rFonts w:ascii="Arial" w:hAnsi="Arial" w:cs="Arial"/>
          <w:b/>
          <w:bCs/>
          <w:sz w:val="24"/>
          <w:szCs w:val="24"/>
        </w:rPr>
        <w:t xml:space="preserve">Application of GP Contract Uplift </w:t>
      </w:r>
      <w:r>
        <w:rPr>
          <w:rFonts w:ascii="Arial" w:hAnsi="Arial" w:cs="Arial"/>
          <w:b/>
          <w:bCs/>
          <w:sz w:val="24"/>
          <w:szCs w:val="24"/>
        </w:rPr>
        <w:t>20</w:t>
      </w:r>
      <w:r w:rsidRPr="00581334">
        <w:rPr>
          <w:rFonts w:ascii="Arial" w:hAnsi="Arial" w:cs="Arial"/>
          <w:b/>
          <w:bCs/>
          <w:sz w:val="24"/>
          <w:szCs w:val="24"/>
        </w:rPr>
        <w:t>13/14</w:t>
      </w:r>
    </w:p>
    <w:p w:rsidR="00645A76" w:rsidRPr="002D37BF" w:rsidRDefault="00645A76" w:rsidP="00645A76">
      <w:pPr>
        <w:pStyle w:val="Header"/>
        <w:rPr>
          <w:b/>
          <w:bCs/>
        </w:rPr>
      </w:pPr>
    </w:p>
    <w:p w:rsidR="00645A76" w:rsidRPr="00EA0FC7" w:rsidRDefault="00645A76" w:rsidP="00645A76">
      <w:pPr>
        <w:numPr>
          <w:ilvl w:val="0"/>
          <w:numId w:val="8"/>
        </w:numPr>
        <w:tabs>
          <w:tab w:val="num" w:pos="360"/>
          <w:tab w:val="num" w:pos="426"/>
        </w:tabs>
        <w:autoSpaceDE w:val="0"/>
        <w:autoSpaceDN w:val="0"/>
        <w:adjustRightInd w:val="0"/>
        <w:ind w:left="426" w:hanging="426"/>
        <w:jc w:val="both"/>
        <w:rPr>
          <w:rFonts w:ascii="Arial" w:eastAsia="MS Mincho" w:hAnsi="Arial" w:cs="Helv"/>
          <w:color w:val="000000"/>
          <w:sz w:val="24"/>
          <w:szCs w:val="24"/>
          <w:lang w:eastAsia="ja-JP" w:bidi="ne-NP"/>
        </w:rPr>
      </w:pPr>
      <w:r w:rsidRPr="00EA0FC7">
        <w:rPr>
          <w:rFonts w:ascii="Arial" w:eastAsia="MS Mincho" w:hAnsi="Arial" w:cs="Helv"/>
          <w:color w:val="000000"/>
          <w:sz w:val="24"/>
          <w:szCs w:val="24"/>
          <w:lang w:eastAsia="ja-JP" w:bidi="ne-NP"/>
        </w:rPr>
        <w:t xml:space="preserve">In light of the GPC’s stated desire not to accept the assured 1.5% gross funding uplift offered as part of reaching an agreed negotiated settlement, the </w:t>
      </w:r>
      <w:r>
        <w:rPr>
          <w:rFonts w:ascii="Arial" w:eastAsia="MS Mincho" w:hAnsi="Arial" w:cs="Helv"/>
          <w:color w:val="000000"/>
          <w:sz w:val="24"/>
          <w:szCs w:val="24"/>
          <w:lang w:eastAsia="ja-JP" w:bidi="ne-NP"/>
        </w:rPr>
        <w:t>Department</w:t>
      </w:r>
      <w:r w:rsidRPr="00EA0FC7">
        <w:rPr>
          <w:rFonts w:ascii="Arial" w:eastAsia="MS Mincho" w:hAnsi="Arial" w:cs="Helv"/>
          <w:color w:val="000000"/>
          <w:sz w:val="24"/>
          <w:szCs w:val="24"/>
          <w:lang w:eastAsia="ja-JP" w:bidi="ne-NP"/>
        </w:rPr>
        <w:t xml:space="preserve"> will consider any recommendation made by the Doctors and Dentists Review Body (DDRB) as part of this year’s independent pay review process.  Any decision by </w:t>
      </w:r>
      <w:r>
        <w:rPr>
          <w:rFonts w:ascii="Arial" w:eastAsia="MS Mincho" w:hAnsi="Arial" w:cs="Helv"/>
          <w:color w:val="000000"/>
          <w:sz w:val="24"/>
          <w:szCs w:val="24"/>
          <w:lang w:eastAsia="ja-JP" w:bidi="ne-NP"/>
        </w:rPr>
        <w:t xml:space="preserve">the </w:t>
      </w:r>
      <w:r w:rsidRPr="00EA0FC7">
        <w:rPr>
          <w:rFonts w:ascii="Arial" w:eastAsia="MS Mincho" w:hAnsi="Arial" w:cs="Helv"/>
          <w:color w:val="000000"/>
          <w:sz w:val="24"/>
          <w:szCs w:val="24"/>
          <w:lang w:eastAsia="ja-JP" w:bidi="ne-NP"/>
        </w:rPr>
        <w:t xml:space="preserve">Minister on the level of contract uplift will be determined once the DDRB have made their recommendations (expected before the end of this consultation period).  Decisions reached will be in-line with the continued commitment to treat independent GP contractors like other public-sector funded staff with the intent of delivering up to 1% pay increase for General Practitioners. </w:t>
      </w:r>
    </w:p>
    <w:p w:rsidR="00645A76" w:rsidRPr="00EA0FC7" w:rsidRDefault="00645A76" w:rsidP="00645A76">
      <w:pPr>
        <w:tabs>
          <w:tab w:val="num" w:pos="426"/>
        </w:tabs>
        <w:autoSpaceDE w:val="0"/>
        <w:autoSpaceDN w:val="0"/>
        <w:adjustRightInd w:val="0"/>
        <w:ind w:left="426"/>
        <w:jc w:val="both"/>
        <w:rPr>
          <w:rFonts w:ascii="Arial" w:eastAsia="MS Mincho" w:hAnsi="Arial" w:cs="Helv"/>
          <w:color w:val="000000"/>
          <w:sz w:val="24"/>
          <w:szCs w:val="24"/>
          <w:lang w:eastAsia="ja-JP" w:bidi="ne-NP"/>
        </w:rPr>
      </w:pPr>
    </w:p>
    <w:p w:rsidR="00645A76" w:rsidRDefault="00645A76" w:rsidP="00645A76">
      <w:pPr>
        <w:numPr>
          <w:ilvl w:val="0"/>
          <w:numId w:val="8"/>
        </w:numPr>
        <w:tabs>
          <w:tab w:val="num" w:pos="360"/>
          <w:tab w:val="num" w:pos="426"/>
        </w:tabs>
        <w:autoSpaceDE w:val="0"/>
        <w:autoSpaceDN w:val="0"/>
        <w:adjustRightInd w:val="0"/>
        <w:ind w:left="426" w:hanging="426"/>
        <w:jc w:val="both"/>
        <w:rPr>
          <w:rFonts w:ascii="Arial" w:eastAsia="MS Mincho" w:hAnsi="Arial" w:cs="Helv"/>
          <w:color w:val="000000"/>
          <w:sz w:val="24"/>
          <w:szCs w:val="24"/>
          <w:lang w:eastAsia="ja-JP" w:bidi="ne-NP"/>
        </w:rPr>
      </w:pPr>
      <w:r w:rsidRPr="001A05D0">
        <w:rPr>
          <w:rFonts w:ascii="Arial" w:eastAsia="MS Mincho" w:hAnsi="Arial" w:cs="Helv"/>
          <w:color w:val="000000"/>
          <w:sz w:val="24"/>
          <w:szCs w:val="24"/>
          <w:lang w:eastAsia="ja-JP" w:bidi="ne-NP"/>
        </w:rPr>
        <w:t xml:space="preserve">The Department is clear that any uplift should all be applied through increases to core practice funding.  While no increases will be applied to QOF, the portion of contract uplift funding relating to these income streams will be used to deliver a minimum uplift to all practices through a % increase to each practice’s Global Sum Equivalent. </w:t>
      </w:r>
    </w:p>
    <w:p w:rsidR="00645A76" w:rsidRDefault="00645A76" w:rsidP="00645A76">
      <w:pPr>
        <w:tabs>
          <w:tab w:val="num" w:pos="426"/>
        </w:tabs>
        <w:autoSpaceDE w:val="0"/>
        <w:autoSpaceDN w:val="0"/>
        <w:adjustRightInd w:val="0"/>
        <w:jc w:val="both"/>
        <w:rPr>
          <w:rFonts w:ascii="Arial" w:eastAsia="MS Mincho" w:hAnsi="Arial" w:cs="Helv"/>
          <w:color w:val="000000"/>
          <w:sz w:val="24"/>
          <w:szCs w:val="24"/>
          <w:lang w:eastAsia="ja-JP" w:bidi="ne-NP"/>
        </w:rPr>
      </w:pPr>
    </w:p>
    <w:p w:rsidR="00645A76" w:rsidRPr="001A05D0" w:rsidRDefault="00645A76" w:rsidP="00645A76">
      <w:pPr>
        <w:tabs>
          <w:tab w:val="num" w:pos="426"/>
        </w:tabs>
        <w:autoSpaceDE w:val="0"/>
        <w:autoSpaceDN w:val="0"/>
        <w:adjustRightInd w:val="0"/>
        <w:jc w:val="both"/>
        <w:rPr>
          <w:rFonts w:ascii="Arial" w:eastAsia="MS Mincho" w:hAnsi="Arial" w:cs="Helv"/>
          <w:color w:val="000000"/>
          <w:sz w:val="24"/>
          <w:szCs w:val="24"/>
          <w:lang w:eastAsia="ja-JP" w:bidi="ne-NP"/>
        </w:rPr>
      </w:pPr>
    </w:p>
    <w:p w:rsidR="00645A76" w:rsidRPr="00EA0FC7" w:rsidRDefault="00645A76" w:rsidP="00645A76">
      <w:pPr>
        <w:numPr>
          <w:ilvl w:val="0"/>
          <w:numId w:val="8"/>
        </w:numPr>
        <w:tabs>
          <w:tab w:val="num" w:pos="360"/>
          <w:tab w:val="num" w:pos="426"/>
        </w:tabs>
        <w:autoSpaceDE w:val="0"/>
        <w:autoSpaceDN w:val="0"/>
        <w:adjustRightInd w:val="0"/>
        <w:ind w:left="426" w:hanging="426"/>
        <w:jc w:val="both"/>
        <w:rPr>
          <w:rFonts w:ascii="Arial" w:eastAsia="MS Mincho" w:hAnsi="Arial" w:cs="Helv"/>
          <w:color w:val="000000"/>
          <w:sz w:val="24"/>
          <w:szCs w:val="24"/>
          <w:lang w:eastAsia="ja-JP" w:bidi="ne-NP"/>
        </w:rPr>
      </w:pPr>
      <w:r w:rsidRPr="00EA0FC7">
        <w:rPr>
          <w:rFonts w:ascii="Arial" w:eastAsia="MS Mincho" w:hAnsi="Arial" w:cs="Helv"/>
          <w:color w:val="000000"/>
          <w:sz w:val="24"/>
          <w:szCs w:val="24"/>
          <w:lang w:eastAsia="ja-JP" w:bidi="ne-NP"/>
        </w:rPr>
        <w:t xml:space="preserve">It is not possible to state the level of minimum increase all practices would receive as this partly depends on decisions following DDRB recommendations, expected by February 2013.  </w:t>
      </w:r>
    </w:p>
    <w:p w:rsidR="00645A76" w:rsidRPr="00EA0FC7" w:rsidRDefault="00645A76" w:rsidP="00645A76">
      <w:pPr>
        <w:pStyle w:val="ListParagraph"/>
        <w:jc w:val="both"/>
        <w:rPr>
          <w:bCs/>
        </w:rPr>
      </w:pPr>
    </w:p>
    <w:p w:rsidR="00645A76" w:rsidRPr="00D238EB" w:rsidRDefault="00645A76" w:rsidP="00645A76">
      <w:pPr>
        <w:pStyle w:val="Header"/>
        <w:tabs>
          <w:tab w:val="num" w:pos="426"/>
        </w:tabs>
        <w:ind w:left="426"/>
        <w:jc w:val="both"/>
        <w:rPr>
          <w:b/>
          <w:bCs/>
        </w:rPr>
      </w:pPr>
    </w:p>
    <w:p w:rsidR="00645A76" w:rsidRDefault="00645A76" w:rsidP="00645A76">
      <w:pPr>
        <w:jc w:val="both"/>
        <w:rPr>
          <w:rFonts w:ascii="Arial" w:hAnsi="Arial" w:cs="Arial"/>
          <w:b/>
          <w:bCs/>
          <w:sz w:val="24"/>
          <w:szCs w:val="24"/>
        </w:rPr>
      </w:pPr>
      <w:r w:rsidRPr="00D238EB">
        <w:rPr>
          <w:rFonts w:ascii="Arial" w:hAnsi="Arial" w:cs="Arial"/>
          <w:b/>
          <w:bCs/>
          <w:sz w:val="24"/>
          <w:szCs w:val="24"/>
        </w:rPr>
        <w:t>Securing equitable funding in GMS contractual arrangements</w:t>
      </w:r>
      <w:r>
        <w:rPr>
          <w:rFonts w:ascii="Arial" w:hAnsi="Arial" w:cs="Arial"/>
          <w:b/>
          <w:bCs/>
          <w:sz w:val="24"/>
          <w:szCs w:val="24"/>
        </w:rPr>
        <w:t xml:space="preserve"> from 2014/15 and beyond</w:t>
      </w:r>
    </w:p>
    <w:p w:rsidR="00645A76" w:rsidRPr="00D238EB" w:rsidRDefault="00645A76" w:rsidP="00645A76">
      <w:pPr>
        <w:jc w:val="both"/>
        <w:rPr>
          <w:rFonts w:ascii="Arial" w:hAnsi="Arial" w:cs="Arial"/>
          <w:b/>
          <w:bCs/>
          <w:sz w:val="24"/>
          <w:szCs w:val="24"/>
        </w:rPr>
      </w:pPr>
    </w:p>
    <w:p w:rsidR="00645A76" w:rsidRPr="00D238EB" w:rsidRDefault="00645A76" w:rsidP="00645A76">
      <w:pPr>
        <w:numPr>
          <w:ilvl w:val="0"/>
          <w:numId w:val="8"/>
        </w:numPr>
        <w:tabs>
          <w:tab w:val="num" w:pos="360"/>
          <w:tab w:val="num" w:pos="426"/>
        </w:tabs>
        <w:autoSpaceDE w:val="0"/>
        <w:autoSpaceDN w:val="0"/>
        <w:adjustRightInd w:val="0"/>
        <w:ind w:left="426" w:hanging="426"/>
        <w:jc w:val="both"/>
        <w:rPr>
          <w:rFonts w:ascii="Arial" w:eastAsia="MS Mincho" w:hAnsi="Arial" w:cs="Arial"/>
          <w:color w:val="000000"/>
          <w:sz w:val="24"/>
          <w:szCs w:val="24"/>
          <w:lang w:eastAsia="ja-JP"/>
        </w:rPr>
      </w:pPr>
      <w:r w:rsidRPr="00D238EB">
        <w:rPr>
          <w:rFonts w:ascii="Arial" w:eastAsia="MS Mincho" w:hAnsi="Arial" w:cs="Helv"/>
          <w:color w:val="000000"/>
          <w:sz w:val="24"/>
          <w:szCs w:val="24"/>
          <w:lang w:eastAsia="ja-JP" w:bidi="ne-NP"/>
        </w:rPr>
        <w:t xml:space="preserve">The proposed 'contract variation' delivers on the commitment to implement </w:t>
      </w:r>
      <w:r>
        <w:rPr>
          <w:rFonts w:ascii="Arial" w:eastAsia="MS Mincho" w:hAnsi="Arial" w:cs="Helv"/>
          <w:color w:val="000000"/>
          <w:sz w:val="24"/>
          <w:szCs w:val="24"/>
          <w:lang w:eastAsia="ja-JP" w:bidi="ne-NP"/>
        </w:rPr>
        <w:t xml:space="preserve">GPC’s </w:t>
      </w:r>
      <w:r w:rsidRPr="00147961">
        <w:rPr>
          <w:rFonts w:ascii="Arial" w:hAnsi="Arial" w:cs="Arial"/>
          <w:sz w:val="24"/>
          <w:szCs w:val="24"/>
        </w:rPr>
        <w:t xml:space="preserve">suggested approach of phasing the changes over a seven-year period, beginning in 2014/15, </w:t>
      </w:r>
      <w:r>
        <w:rPr>
          <w:rFonts w:ascii="Arial" w:hAnsi="Arial" w:cs="Arial"/>
          <w:sz w:val="24"/>
          <w:szCs w:val="24"/>
        </w:rPr>
        <w:t xml:space="preserve">along </w:t>
      </w:r>
      <w:r w:rsidRPr="00147961">
        <w:rPr>
          <w:rFonts w:ascii="Arial" w:hAnsi="Arial" w:cs="Arial"/>
          <w:sz w:val="24"/>
          <w:szCs w:val="24"/>
        </w:rPr>
        <w:t>with</w:t>
      </w:r>
      <w:r>
        <w:rPr>
          <w:rFonts w:cs="Arial"/>
          <w:sz w:val="24"/>
          <w:szCs w:val="24"/>
        </w:rPr>
        <w:t xml:space="preserve"> </w:t>
      </w:r>
      <w:r w:rsidRPr="00D238EB">
        <w:rPr>
          <w:rFonts w:ascii="Arial" w:eastAsia="MS Mincho" w:hAnsi="Arial" w:cs="Helv"/>
          <w:color w:val="000000"/>
          <w:sz w:val="24"/>
          <w:szCs w:val="24"/>
          <w:lang w:eastAsia="ja-JP" w:bidi="ne-NP"/>
        </w:rPr>
        <w:t>MPIG Correction Factor payments redistributed between contractors</w:t>
      </w:r>
      <w:r>
        <w:rPr>
          <w:rFonts w:ascii="Arial" w:eastAsia="MS Mincho" w:hAnsi="Arial" w:cs="Helv"/>
          <w:color w:val="000000"/>
          <w:sz w:val="24"/>
          <w:szCs w:val="24"/>
          <w:lang w:eastAsia="ja-JP" w:bidi="ne-NP"/>
        </w:rPr>
        <w:t xml:space="preserve">. </w:t>
      </w:r>
      <w:r w:rsidRPr="00D238EB">
        <w:rPr>
          <w:rFonts w:ascii="Arial" w:eastAsia="MS Mincho" w:hAnsi="Arial" w:cs="Arial"/>
          <w:color w:val="000000"/>
          <w:sz w:val="24"/>
          <w:szCs w:val="24"/>
          <w:lang w:eastAsia="ja-JP"/>
        </w:rPr>
        <w:t>To support that agreement</w:t>
      </w:r>
      <w:r>
        <w:rPr>
          <w:rFonts w:ascii="Arial" w:eastAsia="MS Mincho" w:hAnsi="Arial" w:cs="Arial"/>
          <w:color w:val="000000"/>
          <w:sz w:val="24"/>
          <w:szCs w:val="24"/>
          <w:lang w:eastAsia="ja-JP"/>
        </w:rPr>
        <w:t xml:space="preserve">, a </w:t>
      </w:r>
      <w:r w:rsidRPr="00D238EB">
        <w:rPr>
          <w:rFonts w:ascii="Arial" w:eastAsia="MS Mincho" w:hAnsi="Arial" w:cs="Arial"/>
          <w:color w:val="000000"/>
          <w:sz w:val="24"/>
          <w:szCs w:val="24"/>
          <w:lang w:eastAsia="ja-JP"/>
        </w:rPr>
        <w:t>provision has been introduced which states that the value of the annual MPIG correction factor payments made to any practice, as part of their entitlement as at 31/03/2014, w</w:t>
      </w:r>
      <w:r>
        <w:rPr>
          <w:rFonts w:ascii="Arial" w:eastAsia="MS Mincho" w:hAnsi="Arial" w:cs="Arial"/>
          <w:color w:val="000000"/>
          <w:sz w:val="24"/>
          <w:szCs w:val="24"/>
          <w:lang w:eastAsia="ja-JP"/>
        </w:rPr>
        <w:t>ould</w:t>
      </w:r>
      <w:r w:rsidRPr="00D238EB">
        <w:rPr>
          <w:rFonts w:ascii="Arial" w:eastAsia="MS Mincho" w:hAnsi="Arial" w:cs="Arial"/>
          <w:color w:val="000000"/>
          <w:sz w:val="24"/>
          <w:szCs w:val="24"/>
          <w:lang w:eastAsia="ja-JP"/>
        </w:rPr>
        <w:t xml:space="preserve"> be reduced by one-seventh in each subsequent year until the payment has been reduced to</w:t>
      </w:r>
      <w:r>
        <w:rPr>
          <w:rFonts w:ascii="Arial" w:eastAsia="MS Mincho" w:hAnsi="Arial" w:cs="Arial"/>
          <w:color w:val="000000"/>
          <w:sz w:val="24"/>
          <w:szCs w:val="24"/>
          <w:lang w:eastAsia="ja-JP"/>
        </w:rPr>
        <w:t xml:space="preserve"> zero (or</w:t>
      </w:r>
      <w:r w:rsidRPr="00D238EB">
        <w:rPr>
          <w:rFonts w:ascii="Arial" w:eastAsia="MS Mincho" w:hAnsi="Arial" w:cs="Arial"/>
          <w:color w:val="000000"/>
          <w:sz w:val="24"/>
          <w:szCs w:val="24"/>
          <w:lang w:eastAsia="ja-JP"/>
        </w:rPr>
        <w:t xml:space="preserve"> less than </w:t>
      </w:r>
      <w:r>
        <w:rPr>
          <w:rFonts w:ascii="Arial" w:eastAsia="MS Mincho" w:hAnsi="Arial" w:cs="Arial"/>
          <w:color w:val="000000"/>
          <w:sz w:val="24"/>
          <w:szCs w:val="24"/>
          <w:lang w:eastAsia="ja-JP"/>
        </w:rPr>
        <w:t xml:space="preserve">a de minimis level of </w:t>
      </w:r>
      <w:r w:rsidRPr="00D238EB">
        <w:rPr>
          <w:rFonts w:ascii="Arial" w:eastAsia="MS Mincho" w:hAnsi="Arial" w:cs="Arial"/>
          <w:color w:val="000000"/>
          <w:sz w:val="24"/>
          <w:szCs w:val="24"/>
          <w:lang w:eastAsia="ja-JP"/>
        </w:rPr>
        <w:t>£10 per month</w:t>
      </w:r>
      <w:r>
        <w:rPr>
          <w:rFonts w:ascii="Arial" w:eastAsia="MS Mincho" w:hAnsi="Arial" w:cs="Arial"/>
          <w:color w:val="000000"/>
          <w:sz w:val="24"/>
          <w:szCs w:val="24"/>
          <w:lang w:eastAsia="ja-JP"/>
        </w:rPr>
        <w:t>)</w:t>
      </w:r>
      <w:r w:rsidRPr="00D238EB">
        <w:rPr>
          <w:rFonts w:ascii="Arial" w:eastAsia="MS Mincho" w:hAnsi="Arial" w:cs="Arial"/>
          <w:color w:val="000000"/>
          <w:sz w:val="24"/>
          <w:szCs w:val="24"/>
          <w:lang w:eastAsia="ja-JP"/>
        </w:rPr>
        <w:t xml:space="preserve"> at which point it w</w:t>
      </w:r>
      <w:r>
        <w:rPr>
          <w:rFonts w:ascii="Arial" w:eastAsia="MS Mincho" w:hAnsi="Arial" w:cs="Arial"/>
          <w:color w:val="000000"/>
          <w:sz w:val="24"/>
          <w:szCs w:val="24"/>
          <w:lang w:eastAsia="ja-JP"/>
        </w:rPr>
        <w:t>ould</w:t>
      </w:r>
      <w:r w:rsidRPr="00D238EB">
        <w:rPr>
          <w:rFonts w:ascii="Arial" w:eastAsia="MS Mincho" w:hAnsi="Arial" w:cs="Arial"/>
          <w:color w:val="000000"/>
          <w:sz w:val="24"/>
          <w:szCs w:val="24"/>
          <w:lang w:eastAsia="ja-JP"/>
        </w:rPr>
        <w:t xml:space="preserve"> cease.  Correct</w:t>
      </w:r>
      <w:r>
        <w:rPr>
          <w:rFonts w:ascii="Arial" w:eastAsia="MS Mincho" w:hAnsi="Arial" w:cs="Arial"/>
          <w:color w:val="000000"/>
          <w:sz w:val="24"/>
          <w:szCs w:val="24"/>
          <w:lang w:eastAsia="ja-JP"/>
        </w:rPr>
        <w:t>ion</w:t>
      </w:r>
      <w:r w:rsidRPr="00D238EB">
        <w:rPr>
          <w:rFonts w:ascii="Arial" w:eastAsia="MS Mincho" w:hAnsi="Arial" w:cs="Arial"/>
          <w:color w:val="000000"/>
          <w:sz w:val="24"/>
          <w:szCs w:val="24"/>
          <w:lang w:eastAsia="ja-JP"/>
        </w:rPr>
        <w:t xml:space="preserve"> factor resources released </w:t>
      </w:r>
      <w:r>
        <w:rPr>
          <w:rFonts w:ascii="Arial" w:eastAsia="MS Mincho" w:hAnsi="Arial" w:cs="Arial"/>
          <w:color w:val="000000"/>
          <w:sz w:val="24"/>
          <w:szCs w:val="24"/>
          <w:lang w:eastAsia="ja-JP"/>
        </w:rPr>
        <w:t>in this way</w:t>
      </w:r>
      <w:r w:rsidRPr="00D238EB">
        <w:rPr>
          <w:rFonts w:ascii="Arial" w:eastAsia="MS Mincho" w:hAnsi="Arial" w:cs="Arial"/>
          <w:color w:val="000000"/>
          <w:sz w:val="24"/>
          <w:szCs w:val="24"/>
          <w:lang w:eastAsia="ja-JP"/>
        </w:rPr>
        <w:t xml:space="preserve"> w</w:t>
      </w:r>
      <w:r>
        <w:rPr>
          <w:rFonts w:ascii="Arial" w:eastAsia="MS Mincho" w:hAnsi="Arial" w:cs="Arial"/>
          <w:color w:val="000000"/>
          <w:sz w:val="24"/>
          <w:szCs w:val="24"/>
          <w:lang w:eastAsia="ja-JP"/>
        </w:rPr>
        <w:t>ould</w:t>
      </w:r>
      <w:r w:rsidRPr="00D238EB">
        <w:rPr>
          <w:rFonts w:ascii="Arial" w:eastAsia="MS Mincho" w:hAnsi="Arial" w:cs="Arial"/>
          <w:color w:val="000000"/>
          <w:sz w:val="24"/>
          <w:szCs w:val="24"/>
          <w:lang w:eastAsia="ja-JP"/>
        </w:rPr>
        <w:t xml:space="preserve"> be reinvested </w:t>
      </w:r>
      <w:r>
        <w:rPr>
          <w:rFonts w:ascii="Arial" w:eastAsia="MS Mincho" w:hAnsi="Arial" w:cs="Arial"/>
          <w:color w:val="000000"/>
          <w:sz w:val="24"/>
          <w:szCs w:val="24"/>
          <w:lang w:eastAsia="ja-JP"/>
        </w:rPr>
        <w:t>into</w:t>
      </w:r>
      <w:r w:rsidRPr="00D238EB">
        <w:rPr>
          <w:rFonts w:ascii="Arial" w:eastAsia="MS Mincho" w:hAnsi="Arial" w:cs="Arial"/>
          <w:color w:val="000000"/>
          <w:sz w:val="24"/>
          <w:szCs w:val="24"/>
          <w:lang w:eastAsia="ja-JP"/>
        </w:rPr>
        <w:t xml:space="preserve"> Global Sum </w:t>
      </w:r>
      <w:r>
        <w:rPr>
          <w:rFonts w:ascii="Arial" w:eastAsia="MS Mincho" w:hAnsi="Arial" w:cs="Arial"/>
          <w:color w:val="000000"/>
          <w:sz w:val="24"/>
          <w:szCs w:val="24"/>
          <w:lang w:eastAsia="ja-JP"/>
        </w:rPr>
        <w:t xml:space="preserve">payments </w:t>
      </w:r>
      <w:r w:rsidRPr="00D238EB">
        <w:rPr>
          <w:rFonts w:ascii="Arial" w:eastAsia="MS Mincho" w:hAnsi="Arial" w:cs="Arial"/>
          <w:color w:val="000000"/>
          <w:sz w:val="24"/>
          <w:szCs w:val="24"/>
          <w:lang w:eastAsia="ja-JP"/>
        </w:rPr>
        <w:t xml:space="preserve">so as to </w:t>
      </w:r>
      <w:r>
        <w:rPr>
          <w:rFonts w:ascii="Arial" w:eastAsia="MS Mincho" w:hAnsi="Arial" w:cs="Arial"/>
          <w:color w:val="000000"/>
          <w:sz w:val="24"/>
          <w:szCs w:val="24"/>
          <w:lang w:eastAsia="ja-JP"/>
        </w:rPr>
        <w:t>benefit all practices, not just those in receipt of correction factor payments</w:t>
      </w:r>
      <w:r w:rsidRPr="00D238EB">
        <w:rPr>
          <w:rFonts w:ascii="Arial" w:eastAsia="MS Mincho" w:hAnsi="Arial" w:cs="Arial"/>
          <w:color w:val="000000"/>
          <w:sz w:val="24"/>
          <w:szCs w:val="24"/>
          <w:lang w:eastAsia="ja-JP"/>
        </w:rPr>
        <w:t>.</w:t>
      </w:r>
    </w:p>
    <w:p w:rsidR="00645A76" w:rsidRPr="00D238EB" w:rsidRDefault="00645A76" w:rsidP="00645A76">
      <w:pPr>
        <w:autoSpaceDE w:val="0"/>
        <w:autoSpaceDN w:val="0"/>
        <w:adjustRightInd w:val="0"/>
        <w:jc w:val="both"/>
        <w:rPr>
          <w:rFonts w:ascii="Arial" w:eastAsia="MS Mincho" w:hAnsi="Arial"/>
          <w:color w:val="000000"/>
          <w:sz w:val="24"/>
          <w:szCs w:val="24"/>
          <w:lang w:eastAsia="ja-JP"/>
        </w:rPr>
      </w:pPr>
    </w:p>
    <w:p w:rsidR="00645A76" w:rsidRPr="0045242A" w:rsidRDefault="00645A76" w:rsidP="00645A76">
      <w:pPr>
        <w:pStyle w:val="Header"/>
        <w:jc w:val="both"/>
        <w:rPr>
          <w:bCs/>
          <w:szCs w:val="24"/>
        </w:rPr>
      </w:pPr>
      <w:r w:rsidRPr="00C802AE">
        <w:rPr>
          <w:bCs/>
          <w:szCs w:val="24"/>
        </w:rPr>
        <w:t xml:space="preserve">   </w:t>
      </w:r>
    </w:p>
    <w:p w:rsidR="00645A76" w:rsidRPr="00EA0FC7" w:rsidRDefault="00645A76" w:rsidP="00645A76">
      <w:pPr>
        <w:jc w:val="both"/>
        <w:rPr>
          <w:rFonts w:ascii="Arial" w:hAnsi="Arial" w:cs="Arial"/>
          <w:b/>
          <w:bCs/>
          <w:sz w:val="24"/>
          <w:szCs w:val="24"/>
        </w:rPr>
      </w:pPr>
      <w:r w:rsidRPr="00EA0FC7">
        <w:rPr>
          <w:rFonts w:ascii="Arial" w:hAnsi="Arial" w:cs="Arial"/>
          <w:b/>
          <w:bCs/>
          <w:sz w:val="24"/>
          <w:szCs w:val="24"/>
        </w:rPr>
        <w:t>Changes to the Quality and Outcome Framework</w:t>
      </w:r>
    </w:p>
    <w:p w:rsidR="00645A76" w:rsidRPr="00D238EB" w:rsidRDefault="00645A76" w:rsidP="00645A76">
      <w:pPr>
        <w:pStyle w:val="Header"/>
        <w:jc w:val="both"/>
        <w:rPr>
          <w:bCs/>
          <w:szCs w:val="24"/>
        </w:rPr>
      </w:pPr>
    </w:p>
    <w:p w:rsidR="00645A76" w:rsidRPr="00D238EB" w:rsidRDefault="00645A76" w:rsidP="00645A76">
      <w:pPr>
        <w:numPr>
          <w:ilvl w:val="0"/>
          <w:numId w:val="8"/>
        </w:numPr>
        <w:tabs>
          <w:tab w:val="num" w:pos="426"/>
        </w:tabs>
        <w:ind w:left="426" w:hanging="426"/>
        <w:jc w:val="both"/>
        <w:rPr>
          <w:rFonts w:ascii="Arial" w:hAnsi="Arial" w:cs="Arial"/>
          <w:sz w:val="24"/>
          <w:szCs w:val="24"/>
        </w:rPr>
      </w:pPr>
      <w:r>
        <w:rPr>
          <w:rFonts w:ascii="Arial" w:hAnsi="Arial" w:cs="Arial"/>
          <w:sz w:val="24"/>
          <w:szCs w:val="24"/>
        </w:rPr>
        <w:t xml:space="preserve">As set out in the letter of 24 October to GPC NI, it is </w:t>
      </w:r>
      <w:r w:rsidRPr="00D238EB">
        <w:rPr>
          <w:rFonts w:ascii="Arial" w:hAnsi="Arial" w:cs="Arial"/>
          <w:sz w:val="24"/>
          <w:szCs w:val="24"/>
        </w:rPr>
        <w:t>propose</w:t>
      </w:r>
      <w:r>
        <w:rPr>
          <w:rFonts w:ascii="Arial" w:hAnsi="Arial" w:cs="Arial"/>
          <w:sz w:val="24"/>
          <w:szCs w:val="24"/>
        </w:rPr>
        <w:t>d</w:t>
      </w:r>
      <w:r w:rsidRPr="00D238EB">
        <w:rPr>
          <w:rFonts w:ascii="Arial" w:hAnsi="Arial" w:cs="Arial"/>
          <w:sz w:val="24"/>
          <w:szCs w:val="24"/>
        </w:rPr>
        <w:t xml:space="preserve"> to make a number of changes to the Quality and Outcomes Framework in order to secure further health improvements for patients. In summary</w:t>
      </w:r>
      <w:r>
        <w:rPr>
          <w:rFonts w:ascii="Arial" w:hAnsi="Arial" w:cs="Arial"/>
          <w:sz w:val="24"/>
          <w:szCs w:val="24"/>
        </w:rPr>
        <w:t>,</w:t>
      </w:r>
      <w:r w:rsidRPr="00D238EB">
        <w:rPr>
          <w:rFonts w:ascii="Arial" w:hAnsi="Arial" w:cs="Arial"/>
          <w:sz w:val="24"/>
          <w:szCs w:val="24"/>
        </w:rPr>
        <w:t xml:space="preserve"> these are as follows:</w:t>
      </w:r>
    </w:p>
    <w:p w:rsidR="00645A76" w:rsidRPr="00D238EB" w:rsidRDefault="00645A76" w:rsidP="00645A76">
      <w:pPr>
        <w:jc w:val="both"/>
        <w:rPr>
          <w:rFonts w:ascii="Arial" w:hAnsi="Arial" w:cs="Arial"/>
          <w:sz w:val="24"/>
          <w:szCs w:val="24"/>
        </w:rPr>
      </w:pPr>
    </w:p>
    <w:p w:rsidR="00645A76" w:rsidRPr="00D238EB" w:rsidRDefault="00645A76" w:rsidP="00645A76">
      <w:pPr>
        <w:numPr>
          <w:ilvl w:val="0"/>
          <w:numId w:val="7"/>
        </w:numPr>
        <w:tabs>
          <w:tab w:val="clear" w:pos="907"/>
          <w:tab w:val="num" w:pos="851"/>
        </w:tabs>
        <w:ind w:left="851" w:hanging="425"/>
        <w:jc w:val="both"/>
        <w:rPr>
          <w:rFonts w:ascii="Arial" w:hAnsi="Arial" w:cs="Arial"/>
          <w:sz w:val="24"/>
          <w:szCs w:val="24"/>
        </w:rPr>
      </w:pPr>
      <w:r w:rsidRPr="00D238EB">
        <w:rPr>
          <w:rFonts w:ascii="Arial" w:hAnsi="Arial" w:cs="Arial"/>
          <w:sz w:val="24"/>
          <w:szCs w:val="24"/>
        </w:rPr>
        <w:lastRenderedPageBreak/>
        <w:t xml:space="preserve">Implement </w:t>
      </w:r>
      <w:r>
        <w:rPr>
          <w:rFonts w:ascii="Arial" w:hAnsi="Arial" w:cs="Arial"/>
          <w:sz w:val="24"/>
          <w:szCs w:val="24"/>
        </w:rPr>
        <w:t xml:space="preserve">the majority of </w:t>
      </w:r>
      <w:r w:rsidRPr="00D238EB">
        <w:rPr>
          <w:rFonts w:ascii="Arial" w:hAnsi="Arial" w:cs="Arial"/>
          <w:sz w:val="24"/>
          <w:szCs w:val="24"/>
        </w:rPr>
        <w:t>the NICE re</w:t>
      </w:r>
      <w:r>
        <w:rPr>
          <w:rFonts w:ascii="Arial" w:hAnsi="Arial" w:cs="Arial"/>
          <w:sz w:val="24"/>
          <w:szCs w:val="24"/>
        </w:rPr>
        <w:t>commendations for changes to QOF</w:t>
      </w:r>
      <w:r w:rsidRPr="00D238EB">
        <w:rPr>
          <w:rFonts w:ascii="Arial" w:hAnsi="Arial" w:cs="Arial"/>
          <w:sz w:val="24"/>
          <w:szCs w:val="24"/>
        </w:rPr>
        <w:t xml:space="preserve">, partly funded from NICE recommended retirements and partly from retirements from </w:t>
      </w:r>
      <w:r>
        <w:rPr>
          <w:rFonts w:ascii="Arial" w:hAnsi="Arial" w:cs="Arial"/>
          <w:sz w:val="24"/>
          <w:szCs w:val="24"/>
        </w:rPr>
        <w:t xml:space="preserve">existing investment in </w:t>
      </w:r>
      <w:r w:rsidRPr="00D238EB">
        <w:rPr>
          <w:rFonts w:ascii="Arial" w:hAnsi="Arial" w:cs="Arial"/>
          <w:sz w:val="24"/>
          <w:szCs w:val="24"/>
        </w:rPr>
        <w:t>the organisational domain</w:t>
      </w:r>
      <w:r>
        <w:rPr>
          <w:rFonts w:ascii="Arial" w:hAnsi="Arial" w:cs="Arial"/>
          <w:sz w:val="24"/>
          <w:szCs w:val="24"/>
        </w:rPr>
        <w:t xml:space="preserve"> of QOF</w:t>
      </w:r>
      <w:r w:rsidRPr="00D238EB">
        <w:rPr>
          <w:rFonts w:ascii="Arial" w:hAnsi="Arial" w:cs="Arial"/>
          <w:sz w:val="24"/>
          <w:szCs w:val="24"/>
        </w:rPr>
        <w:t>;</w:t>
      </w:r>
    </w:p>
    <w:p w:rsidR="00645A76" w:rsidRPr="00D238EB" w:rsidRDefault="00645A76" w:rsidP="00645A76">
      <w:pPr>
        <w:numPr>
          <w:ilvl w:val="0"/>
          <w:numId w:val="7"/>
        </w:numPr>
        <w:tabs>
          <w:tab w:val="clear" w:pos="907"/>
          <w:tab w:val="num" w:pos="851"/>
        </w:tabs>
        <w:ind w:left="851" w:hanging="425"/>
        <w:jc w:val="both"/>
        <w:rPr>
          <w:rFonts w:ascii="Arial" w:hAnsi="Arial" w:cs="Arial"/>
          <w:sz w:val="24"/>
          <w:szCs w:val="24"/>
        </w:rPr>
      </w:pPr>
      <w:r w:rsidRPr="00D238EB">
        <w:rPr>
          <w:rFonts w:ascii="Arial" w:hAnsi="Arial" w:cs="Arial"/>
          <w:sz w:val="24"/>
          <w:szCs w:val="24"/>
        </w:rPr>
        <w:t>Raise upper thresholds for</w:t>
      </w:r>
      <w:r>
        <w:rPr>
          <w:rFonts w:ascii="Arial" w:hAnsi="Arial" w:cs="Arial"/>
          <w:sz w:val="24"/>
          <w:szCs w:val="24"/>
        </w:rPr>
        <w:t xml:space="preserve"> a number of</w:t>
      </w:r>
      <w:r w:rsidRPr="00D238EB">
        <w:rPr>
          <w:rFonts w:ascii="Arial" w:hAnsi="Arial" w:cs="Arial"/>
          <w:sz w:val="24"/>
          <w:szCs w:val="24"/>
        </w:rPr>
        <w:t xml:space="preserve"> existing indicators to reflect the </w:t>
      </w:r>
      <w:r>
        <w:rPr>
          <w:rFonts w:ascii="Arial" w:hAnsi="Arial" w:cs="Arial"/>
          <w:sz w:val="24"/>
          <w:szCs w:val="24"/>
        </w:rPr>
        <w:t xml:space="preserve">existing </w:t>
      </w:r>
      <w:r w:rsidRPr="00D238EB">
        <w:rPr>
          <w:rFonts w:ascii="Arial" w:hAnsi="Arial" w:cs="Arial"/>
          <w:sz w:val="24"/>
          <w:szCs w:val="24"/>
        </w:rPr>
        <w:t xml:space="preserve">achievement </w:t>
      </w:r>
      <w:r>
        <w:rPr>
          <w:rFonts w:ascii="Arial" w:hAnsi="Arial" w:cs="Arial"/>
          <w:sz w:val="24"/>
          <w:szCs w:val="24"/>
        </w:rPr>
        <w:t xml:space="preserve">of practices </w:t>
      </w:r>
      <w:r w:rsidRPr="00D238EB">
        <w:rPr>
          <w:rFonts w:ascii="Arial" w:hAnsi="Arial" w:cs="Arial"/>
          <w:sz w:val="24"/>
          <w:szCs w:val="24"/>
        </w:rPr>
        <w:t xml:space="preserve">and so benefit more patients </w:t>
      </w:r>
      <w:r>
        <w:rPr>
          <w:rFonts w:ascii="Arial" w:hAnsi="Arial" w:cs="Arial"/>
          <w:sz w:val="24"/>
          <w:szCs w:val="24"/>
        </w:rPr>
        <w:t xml:space="preserve">in receiving care that will </w:t>
      </w:r>
      <w:r w:rsidRPr="00D238EB">
        <w:rPr>
          <w:rFonts w:ascii="Arial" w:hAnsi="Arial" w:cs="Arial"/>
          <w:sz w:val="24"/>
          <w:szCs w:val="24"/>
        </w:rPr>
        <w:t>save more lives.</w:t>
      </w:r>
      <w:r>
        <w:rPr>
          <w:rFonts w:ascii="Arial" w:hAnsi="Arial" w:cs="Arial"/>
          <w:sz w:val="24"/>
          <w:szCs w:val="24"/>
        </w:rPr>
        <w:t xml:space="preserve"> However, i</w:t>
      </w:r>
      <w:r w:rsidRPr="00D238EB">
        <w:rPr>
          <w:rFonts w:ascii="Arial" w:hAnsi="Arial" w:cs="Arial"/>
          <w:sz w:val="24"/>
          <w:szCs w:val="24"/>
        </w:rPr>
        <w:t>n order to make sure that the workload for practices is manageable</w:t>
      </w:r>
      <w:r>
        <w:rPr>
          <w:rFonts w:ascii="Arial" w:hAnsi="Arial" w:cs="Arial"/>
          <w:sz w:val="24"/>
          <w:szCs w:val="24"/>
        </w:rPr>
        <w:t xml:space="preserve">, it is proposed to </w:t>
      </w:r>
      <w:r w:rsidRPr="00D238EB">
        <w:rPr>
          <w:rFonts w:ascii="Arial" w:hAnsi="Arial" w:cs="Arial"/>
          <w:sz w:val="24"/>
          <w:szCs w:val="24"/>
        </w:rPr>
        <w:t>phase</w:t>
      </w:r>
      <w:r>
        <w:rPr>
          <w:rFonts w:ascii="Arial" w:hAnsi="Arial" w:cs="Arial"/>
          <w:sz w:val="24"/>
          <w:szCs w:val="24"/>
        </w:rPr>
        <w:t xml:space="preserve"> the number of indicators that would see an increase to threshold levels</w:t>
      </w:r>
      <w:r w:rsidRPr="00D238EB">
        <w:rPr>
          <w:rFonts w:ascii="Arial" w:hAnsi="Arial" w:cs="Arial"/>
          <w:sz w:val="24"/>
          <w:szCs w:val="24"/>
        </w:rPr>
        <w:t xml:space="preserve"> over two years</w:t>
      </w:r>
      <w:r>
        <w:rPr>
          <w:rFonts w:ascii="Arial" w:hAnsi="Arial" w:cs="Arial"/>
          <w:sz w:val="24"/>
          <w:szCs w:val="24"/>
        </w:rPr>
        <w:t>:</w:t>
      </w:r>
      <w:r w:rsidRPr="00D238EB">
        <w:rPr>
          <w:rFonts w:ascii="Arial" w:hAnsi="Arial" w:cs="Arial"/>
          <w:sz w:val="24"/>
          <w:szCs w:val="24"/>
        </w:rPr>
        <w:t xml:space="preserve"> in 2013/14 and 2014/15. From 2015/16 onwards thresholds w</w:t>
      </w:r>
      <w:r>
        <w:rPr>
          <w:rFonts w:ascii="Arial" w:hAnsi="Arial" w:cs="Arial"/>
          <w:sz w:val="24"/>
          <w:szCs w:val="24"/>
        </w:rPr>
        <w:t>ould</w:t>
      </w:r>
      <w:r w:rsidRPr="00D238EB">
        <w:rPr>
          <w:rFonts w:ascii="Arial" w:hAnsi="Arial" w:cs="Arial"/>
          <w:sz w:val="24"/>
          <w:szCs w:val="24"/>
        </w:rPr>
        <w:t xml:space="preserve"> continue to rise </w:t>
      </w:r>
      <w:r>
        <w:rPr>
          <w:rFonts w:ascii="Arial" w:hAnsi="Arial" w:cs="Arial"/>
          <w:sz w:val="24"/>
          <w:szCs w:val="24"/>
        </w:rPr>
        <w:t>gradually;</w:t>
      </w:r>
    </w:p>
    <w:p w:rsidR="00645A76" w:rsidRPr="00D238EB" w:rsidRDefault="00645A76" w:rsidP="00645A76">
      <w:pPr>
        <w:numPr>
          <w:ilvl w:val="0"/>
          <w:numId w:val="7"/>
        </w:numPr>
        <w:tabs>
          <w:tab w:val="clear" w:pos="907"/>
          <w:tab w:val="num" w:pos="851"/>
        </w:tabs>
        <w:ind w:left="851" w:hanging="425"/>
        <w:jc w:val="both"/>
        <w:rPr>
          <w:rFonts w:ascii="Arial" w:hAnsi="Arial" w:cs="Arial"/>
          <w:sz w:val="24"/>
          <w:szCs w:val="24"/>
        </w:rPr>
      </w:pPr>
      <w:r w:rsidRPr="00D238EB">
        <w:rPr>
          <w:rFonts w:ascii="Arial" w:hAnsi="Arial" w:cs="Arial"/>
          <w:sz w:val="24"/>
          <w:szCs w:val="24"/>
        </w:rPr>
        <w:t>Set up a Public Health Domain in the QOF, as originally proposed in the 2010 Public Health White Paper. This w</w:t>
      </w:r>
      <w:r>
        <w:rPr>
          <w:rFonts w:ascii="Arial" w:hAnsi="Arial" w:cs="Arial"/>
          <w:sz w:val="24"/>
          <w:szCs w:val="24"/>
        </w:rPr>
        <w:t>ould</w:t>
      </w:r>
      <w:r w:rsidRPr="00D238EB">
        <w:rPr>
          <w:rFonts w:ascii="Arial" w:hAnsi="Arial" w:cs="Arial"/>
          <w:sz w:val="24"/>
          <w:szCs w:val="24"/>
        </w:rPr>
        <w:t xml:space="preserve"> include </w:t>
      </w:r>
      <w:r>
        <w:rPr>
          <w:rFonts w:ascii="Arial" w:hAnsi="Arial" w:cs="Arial"/>
          <w:sz w:val="24"/>
          <w:szCs w:val="24"/>
        </w:rPr>
        <w:t xml:space="preserve">relevant </w:t>
      </w:r>
      <w:r w:rsidRPr="00D238EB">
        <w:rPr>
          <w:rFonts w:ascii="Arial" w:hAnsi="Arial" w:cs="Arial"/>
          <w:sz w:val="24"/>
          <w:szCs w:val="24"/>
        </w:rPr>
        <w:t>indicators from the Clinical, Additional Services and Organisational Domains;</w:t>
      </w:r>
    </w:p>
    <w:p w:rsidR="00645A76" w:rsidRPr="00D238EB" w:rsidRDefault="00645A76" w:rsidP="00645A76">
      <w:pPr>
        <w:numPr>
          <w:ilvl w:val="0"/>
          <w:numId w:val="7"/>
        </w:numPr>
        <w:tabs>
          <w:tab w:val="clear" w:pos="907"/>
          <w:tab w:val="num" w:pos="851"/>
        </w:tabs>
        <w:ind w:left="851" w:hanging="425"/>
        <w:jc w:val="both"/>
        <w:rPr>
          <w:rFonts w:ascii="Arial" w:hAnsi="Arial" w:cs="Arial"/>
          <w:sz w:val="24"/>
          <w:szCs w:val="24"/>
        </w:rPr>
      </w:pPr>
      <w:r w:rsidRPr="00D238EB">
        <w:rPr>
          <w:rFonts w:ascii="Arial" w:hAnsi="Arial" w:cs="Arial"/>
          <w:sz w:val="24"/>
          <w:szCs w:val="24"/>
        </w:rPr>
        <w:t>Retain</w:t>
      </w:r>
      <w:r>
        <w:rPr>
          <w:rFonts w:ascii="Arial" w:hAnsi="Arial" w:cs="Arial"/>
          <w:sz w:val="24"/>
          <w:szCs w:val="24"/>
        </w:rPr>
        <w:t xml:space="preserve"> for a further year </w:t>
      </w:r>
      <w:r w:rsidRPr="00D238EB">
        <w:rPr>
          <w:rFonts w:ascii="Arial" w:hAnsi="Arial" w:cs="Arial"/>
          <w:sz w:val="24"/>
          <w:szCs w:val="24"/>
        </w:rPr>
        <w:t xml:space="preserve">the Quality and Productivity </w:t>
      </w:r>
      <w:r>
        <w:rPr>
          <w:rFonts w:ascii="Arial" w:hAnsi="Arial" w:cs="Arial"/>
          <w:sz w:val="24"/>
          <w:szCs w:val="24"/>
        </w:rPr>
        <w:t xml:space="preserve">(QP) </w:t>
      </w:r>
      <w:r w:rsidRPr="00D238EB">
        <w:rPr>
          <w:rFonts w:ascii="Arial" w:hAnsi="Arial" w:cs="Arial"/>
          <w:sz w:val="24"/>
          <w:szCs w:val="24"/>
        </w:rPr>
        <w:t>indicators that reward practices for work to reduce</w:t>
      </w:r>
      <w:r>
        <w:rPr>
          <w:rFonts w:ascii="Arial" w:hAnsi="Arial" w:cs="Arial"/>
          <w:sz w:val="24"/>
          <w:szCs w:val="24"/>
        </w:rPr>
        <w:t xml:space="preserve"> any</w:t>
      </w:r>
      <w:r w:rsidRPr="00D238EB">
        <w:rPr>
          <w:rFonts w:ascii="Arial" w:hAnsi="Arial" w:cs="Arial"/>
          <w:sz w:val="24"/>
          <w:szCs w:val="24"/>
        </w:rPr>
        <w:t xml:space="preserve"> unnecessary emergency admissions, referrals </w:t>
      </w:r>
      <w:r>
        <w:rPr>
          <w:rFonts w:ascii="Arial" w:hAnsi="Arial" w:cs="Arial"/>
          <w:sz w:val="24"/>
          <w:szCs w:val="24"/>
        </w:rPr>
        <w:t>or</w:t>
      </w:r>
      <w:r w:rsidRPr="00D238EB">
        <w:rPr>
          <w:rFonts w:ascii="Arial" w:hAnsi="Arial" w:cs="Arial"/>
          <w:sz w:val="24"/>
          <w:szCs w:val="24"/>
        </w:rPr>
        <w:t xml:space="preserve"> A&amp;E attendances </w:t>
      </w:r>
      <w:r>
        <w:rPr>
          <w:rFonts w:ascii="Arial" w:hAnsi="Arial" w:cs="Arial"/>
          <w:sz w:val="24"/>
          <w:szCs w:val="24"/>
        </w:rPr>
        <w:t>and</w:t>
      </w:r>
      <w:r w:rsidRPr="00D238EB">
        <w:rPr>
          <w:rFonts w:ascii="Arial" w:hAnsi="Arial" w:cs="Arial"/>
          <w:sz w:val="24"/>
          <w:szCs w:val="24"/>
        </w:rPr>
        <w:t xml:space="preserve"> improv</w:t>
      </w:r>
      <w:r>
        <w:rPr>
          <w:rFonts w:ascii="Arial" w:hAnsi="Arial" w:cs="Arial"/>
          <w:sz w:val="24"/>
          <w:szCs w:val="24"/>
        </w:rPr>
        <w:t>e</w:t>
      </w:r>
      <w:r w:rsidRPr="00D238EB">
        <w:rPr>
          <w:rFonts w:ascii="Arial" w:hAnsi="Arial" w:cs="Arial"/>
          <w:sz w:val="24"/>
          <w:szCs w:val="24"/>
        </w:rPr>
        <w:t xml:space="preserve"> care for patients. </w:t>
      </w:r>
      <w:r>
        <w:rPr>
          <w:rFonts w:ascii="Arial" w:hAnsi="Arial" w:cs="Arial"/>
          <w:sz w:val="24"/>
          <w:szCs w:val="24"/>
        </w:rPr>
        <w:t>The wording for  QP indicators 6, 7, 9 and 10 will be amended to include target dates in line with  QP indicators 12 and 13</w:t>
      </w:r>
      <w:r w:rsidRPr="00D238EB">
        <w:rPr>
          <w:rFonts w:ascii="Arial" w:hAnsi="Arial" w:cs="Arial"/>
          <w:sz w:val="24"/>
          <w:szCs w:val="24"/>
        </w:rPr>
        <w:t>;</w:t>
      </w:r>
      <w:r>
        <w:rPr>
          <w:rFonts w:ascii="Arial" w:hAnsi="Arial" w:cs="Arial"/>
          <w:sz w:val="24"/>
          <w:szCs w:val="24"/>
        </w:rPr>
        <w:t xml:space="preserve"> and</w:t>
      </w:r>
    </w:p>
    <w:p w:rsidR="00645A76" w:rsidRPr="00F71E3E" w:rsidRDefault="00645A76" w:rsidP="00645A76">
      <w:pPr>
        <w:numPr>
          <w:ilvl w:val="0"/>
          <w:numId w:val="7"/>
        </w:numPr>
        <w:tabs>
          <w:tab w:val="clear" w:pos="907"/>
          <w:tab w:val="num" w:pos="851"/>
        </w:tabs>
        <w:ind w:left="851" w:hanging="425"/>
        <w:jc w:val="both"/>
        <w:rPr>
          <w:rFonts w:ascii="Arial" w:hAnsi="Arial" w:cs="Arial"/>
          <w:sz w:val="24"/>
          <w:szCs w:val="24"/>
        </w:rPr>
      </w:pPr>
      <w:r w:rsidRPr="00F71E3E">
        <w:rPr>
          <w:rFonts w:ascii="Arial" w:hAnsi="Arial" w:cs="Arial"/>
          <w:sz w:val="24"/>
          <w:szCs w:val="24"/>
        </w:rPr>
        <w:t>Remove organisational indicators</w:t>
      </w:r>
      <w:r>
        <w:rPr>
          <w:rFonts w:ascii="Arial" w:hAnsi="Arial" w:cs="Arial"/>
          <w:sz w:val="24"/>
          <w:szCs w:val="24"/>
        </w:rPr>
        <w:t xml:space="preserve">, except for some Medicines Management indicators, QP indicators and those </w:t>
      </w:r>
      <w:r w:rsidRPr="00F71E3E">
        <w:rPr>
          <w:rFonts w:ascii="Arial" w:hAnsi="Arial" w:cs="Arial"/>
          <w:sz w:val="24"/>
          <w:szCs w:val="24"/>
        </w:rPr>
        <w:t>moved into the Public Health Domain. The organisational indicators represent basic standards and there w</w:t>
      </w:r>
      <w:r>
        <w:rPr>
          <w:rFonts w:ascii="Arial" w:hAnsi="Arial" w:cs="Arial"/>
          <w:sz w:val="24"/>
          <w:szCs w:val="24"/>
        </w:rPr>
        <w:t>ould</w:t>
      </w:r>
      <w:r w:rsidRPr="00F71E3E">
        <w:rPr>
          <w:rFonts w:ascii="Arial" w:hAnsi="Arial" w:cs="Arial"/>
          <w:sz w:val="24"/>
          <w:szCs w:val="24"/>
        </w:rPr>
        <w:t xml:space="preserve"> be a requirement within the Contract to meet Clinical Governance standards agreed by the </w:t>
      </w:r>
      <w:r>
        <w:rPr>
          <w:rFonts w:ascii="Arial" w:hAnsi="Arial" w:cs="Arial"/>
          <w:sz w:val="24"/>
          <w:szCs w:val="24"/>
        </w:rPr>
        <w:t>HSC Board</w:t>
      </w:r>
      <w:r w:rsidRPr="00F71E3E">
        <w:rPr>
          <w:rFonts w:ascii="Arial" w:hAnsi="Arial" w:cs="Arial"/>
          <w:sz w:val="24"/>
          <w:szCs w:val="24"/>
        </w:rPr>
        <w:t xml:space="preserve">. The </w:t>
      </w:r>
      <w:r>
        <w:rPr>
          <w:rFonts w:ascii="Arial" w:hAnsi="Arial" w:cs="Arial"/>
          <w:sz w:val="24"/>
          <w:szCs w:val="24"/>
        </w:rPr>
        <w:t>funding</w:t>
      </w:r>
      <w:r w:rsidRPr="00F71E3E">
        <w:rPr>
          <w:rFonts w:ascii="Arial" w:hAnsi="Arial" w:cs="Arial"/>
          <w:sz w:val="24"/>
          <w:szCs w:val="24"/>
        </w:rPr>
        <w:t xml:space="preserve"> released w</w:t>
      </w:r>
      <w:r>
        <w:rPr>
          <w:rFonts w:ascii="Arial" w:hAnsi="Arial" w:cs="Arial"/>
          <w:sz w:val="24"/>
          <w:szCs w:val="24"/>
        </w:rPr>
        <w:t>ould</w:t>
      </w:r>
      <w:r w:rsidRPr="00F71E3E">
        <w:rPr>
          <w:rFonts w:ascii="Arial" w:hAnsi="Arial" w:cs="Arial"/>
          <w:sz w:val="24"/>
          <w:szCs w:val="24"/>
        </w:rPr>
        <w:t xml:space="preserve"> be used partly to fund the NICE</w:t>
      </w:r>
      <w:r>
        <w:rPr>
          <w:rFonts w:ascii="Arial" w:hAnsi="Arial" w:cs="Arial"/>
          <w:sz w:val="24"/>
          <w:szCs w:val="24"/>
        </w:rPr>
        <w:t xml:space="preserve"> recommendations and the remainder would be transferred to the core of the Contract in recognition of the ongoing work in maintaining these standards.</w:t>
      </w:r>
    </w:p>
    <w:p w:rsidR="00645A76" w:rsidRDefault="00645A76" w:rsidP="00645A76">
      <w:pPr>
        <w:pStyle w:val="Header"/>
        <w:jc w:val="both"/>
        <w:rPr>
          <w:bCs/>
          <w:szCs w:val="24"/>
        </w:rPr>
      </w:pPr>
    </w:p>
    <w:p w:rsidR="00645A76" w:rsidRPr="00D238EB" w:rsidRDefault="00645A76" w:rsidP="00645A76">
      <w:pPr>
        <w:pStyle w:val="Header"/>
        <w:jc w:val="both"/>
        <w:rPr>
          <w:bCs/>
          <w:szCs w:val="24"/>
        </w:rPr>
      </w:pPr>
    </w:p>
    <w:p w:rsidR="00645A76" w:rsidRPr="00EA0FC7" w:rsidRDefault="00645A76" w:rsidP="00645A76">
      <w:pPr>
        <w:jc w:val="both"/>
        <w:rPr>
          <w:rFonts w:ascii="Arial" w:hAnsi="Arial" w:cs="Arial"/>
          <w:b/>
          <w:bCs/>
          <w:sz w:val="24"/>
          <w:szCs w:val="24"/>
        </w:rPr>
      </w:pPr>
      <w:r w:rsidRPr="00EA0FC7">
        <w:rPr>
          <w:rFonts w:ascii="Arial" w:hAnsi="Arial" w:cs="Arial"/>
          <w:b/>
          <w:bCs/>
          <w:sz w:val="24"/>
          <w:szCs w:val="24"/>
        </w:rPr>
        <w:t>New Domains, indicators and areas</w:t>
      </w:r>
    </w:p>
    <w:p w:rsidR="00645A76" w:rsidRPr="00D238EB" w:rsidRDefault="00645A76" w:rsidP="00645A76">
      <w:pPr>
        <w:pStyle w:val="Header"/>
        <w:jc w:val="both"/>
        <w:rPr>
          <w:b/>
          <w:szCs w:val="24"/>
        </w:rPr>
      </w:pPr>
    </w:p>
    <w:p w:rsidR="00645A76" w:rsidRPr="00D238EB" w:rsidRDefault="00645A76" w:rsidP="00645A76">
      <w:pPr>
        <w:numPr>
          <w:ilvl w:val="0"/>
          <w:numId w:val="8"/>
        </w:numPr>
        <w:tabs>
          <w:tab w:val="num" w:pos="426"/>
          <w:tab w:val="left" w:pos="540"/>
        </w:tabs>
        <w:autoSpaceDE w:val="0"/>
        <w:autoSpaceDN w:val="0"/>
        <w:adjustRightInd w:val="0"/>
        <w:ind w:left="426" w:hanging="426"/>
        <w:jc w:val="both"/>
        <w:rPr>
          <w:rFonts w:ascii="Arial" w:hAnsi="Arial" w:cs="Arial"/>
          <w:color w:val="000000"/>
          <w:sz w:val="24"/>
          <w:szCs w:val="24"/>
        </w:rPr>
      </w:pPr>
      <w:r>
        <w:rPr>
          <w:rFonts w:ascii="Arial" w:hAnsi="Arial" w:cs="Arial"/>
          <w:color w:val="000000"/>
          <w:sz w:val="24"/>
          <w:szCs w:val="24"/>
        </w:rPr>
        <w:t xml:space="preserve">It is </w:t>
      </w:r>
      <w:r w:rsidRPr="00D238EB">
        <w:rPr>
          <w:rFonts w:ascii="Arial" w:hAnsi="Arial" w:cs="Arial"/>
          <w:color w:val="000000"/>
          <w:sz w:val="24"/>
          <w:szCs w:val="24"/>
        </w:rPr>
        <w:t>propose</w:t>
      </w:r>
      <w:r>
        <w:rPr>
          <w:rFonts w:ascii="Arial" w:hAnsi="Arial" w:cs="Arial"/>
          <w:color w:val="000000"/>
          <w:sz w:val="24"/>
          <w:szCs w:val="24"/>
        </w:rPr>
        <w:t>d</w:t>
      </w:r>
      <w:r w:rsidRPr="00D238EB">
        <w:rPr>
          <w:rFonts w:ascii="Arial" w:hAnsi="Arial" w:cs="Arial"/>
          <w:color w:val="000000"/>
          <w:sz w:val="24"/>
          <w:szCs w:val="24"/>
        </w:rPr>
        <w:t xml:space="preserve"> to implement in 2013/14 </w:t>
      </w:r>
      <w:r>
        <w:rPr>
          <w:rFonts w:ascii="Arial" w:hAnsi="Arial" w:cs="Arial"/>
          <w:color w:val="000000"/>
          <w:sz w:val="24"/>
          <w:szCs w:val="24"/>
        </w:rPr>
        <w:t xml:space="preserve">the majority of </w:t>
      </w:r>
      <w:r w:rsidRPr="00D238EB">
        <w:rPr>
          <w:rFonts w:ascii="Arial" w:hAnsi="Arial" w:cs="Arial"/>
          <w:color w:val="000000"/>
          <w:sz w:val="24"/>
          <w:szCs w:val="24"/>
        </w:rPr>
        <w:t xml:space="preserve">all the NICE recommendations for improvements to QOF, The recommendations include the following </w:t>
      </w:r>
      <w:r>
        <w:rPr>
          <w:rFonts w:ascii="Arial" w:hAnsi="Arial" w:cs="Arial"/>
          <w:color w:val="000000"/>
          <w:sz w:val="24"/>
          <w:szCs w:val="24"/>
        </w:rPr>
        <w:t>evidence based indicators</w:t>
      </w:r>
      <w:r w:rsidRPr="00D238EB">
        <w:rPr>
          <w:rFonts w:ascii="Arial" w:hAnsi="Arial" w:cs="Arial"/>
          <w:color w:val="000000"/>
          <w:sz w:val="24"/>
          <w:szCs w:val="24"/>
        </w:rPr>
        <w:t>:</w:t>
      </w:r>
    </w:p>
    <w:p w:rsidR="00645A76" w:rsidRPr="00D238EB" w:rsidRDefault="00645A76" w:rsidP="00645A76">
      <w:pPr>
        <w:tabs>
          <w:tab w:val="left" w:pos="540"/>
        </w:tabs>
        <w:autoSpaceDE w:val="0"/>
        <w:autoSpaceDN w:val="0"/>
        <w:adjustRightInd w:val="0"/>
        <w:jc w:val="both"/>
        <w:rPr>
          <w:rFonts w:ascii="Arial" w:hAnsi="Arial" w:cs="Arial"/>
          <w:color w:val="000000"/>
          <w:sz w:val="24"/>
          <w:szCs w:val="24"/>
        </w:rPr>
      </w:pPr>
    </w:p>
    <w:p w:rsidR="00645A76" w:rsidRPr="00D238EB" w:rsidRDefault="00645A76" w:rsidP="00645A76">
      <w:pPr>
        <w:numPr>
          <w:ilvl w:val="0"/>
          <w:numId w:val="2"/>
        </w:numPr>
        <w:tabs>
          <w:tab w:val="clear" w:pos="1474"/>
          <w:tab w:val="left" w:pos="426"/>
          <w:tab w:val="num" w:pos="851"/>
        </w:tabs>
        <w:autoSpaceDE w:val="0"/>
        <w:autoSpaceDN w:val="0"/>
        <w:adjustRightInd w:val="0"/>
        <w:ind w:left="851" w:hanging="425"/>
        <w:jc w:val="both"/>
        <w:rPr>
          <w:rFonts w:ascii="Arial" w:hAnsi="Arial" w:cs="Arial"/>
          <w:color w:val="000000"/>
          <w:sz w:val="24"/>
          <w:szCs w:val="24"/>
        </w:rPr>
      </w:pPr>
      <w:r w:rsidRPr="00D238EB">
        <w:rPr>
          <w:rFonts w:ascii="Arial" w:hAnsi="Arial" w:cs="Arial"/>
          <w:color w:val="000000"/>
          <w:sz w:val="24"/>
          <w:szCs w:val="24"/>
        </w:rPr>
        <w:t>Tighter blood pressure control for people with hypertension leading to an increase in quality years of life for those patients;</w:t>
      </w:r>
    </w:p>
    <w:p w:rsidR="00645A76" w:rsidRPr="00D238EB" w:rsidRDefault="00645A76" w:rsidP="00645A76">
      <w:pPr>
        <w:numPr>
          <w:ilvl w:val="0"/>
          <w:numId w:val="2"/>
        </w:numPr>
        <w:tabs>
          <w:tab w:val="clear" w:pos="1474"/>
          <w:tab w:val="left" w:pos="426"/>
          <w:tab w:val="num" w:pos="851"/>
        </w:tabs>
        <w:autoSpaceDE w:val="0"/>
        <w:autoSpaceDN w:val="0"/>
        <w:adjustRightInd w:val="0"/>
        <w:ind w:left="851" w:hanging="425"/>
        <w:jc w:val="both"/>
        <w:rPr>
          <w:rFonts w:ascii="Arial" w:hAnsi="Arial" w:cs="Arial"/>
          <w:color w:val="000000"/>
          <w:sz w:val="24"/>
          <w:szCs w:val="24"/>
        </w:rPr>
      </w:pPr>
      <w:r w:rsidRPr="00D238EB">
        <w:rPr>
          <w:rFonts w:ascii="Arial" w:hAnsi="Arial" w:cs="Arial"/>
          <w:color w:val="000000"/>
          <w:sz w:val="24"/>
          <w:szCs w:val="24"/>
        </w:rPr>
        <w:t>Prescribing of cholesterol lowering medicines in people diagnosed with hypertension who are at high risk of events such as heart attacks and strokes;</w:t>
      </w:r>
    </w:p>
    <w:p w:rsidR="00645A76" w:rsidRPr="00D238EB" w:rsidRDefault="00645A76" w:rsidP="00645A76">
      <w:pPr>
        <w:numPr>
          <w:ilvl w:val="0"/>
          <w:numId w:val="2"/>
        </w:numPr>
        <w:tabs>
          <w:tab w:val="clear" w:pos="1474"/>
          <w:tab w:val="left" w:pos="426"/>
          <w:tab w:val="num" w:pos="851"/>
        </w:tabs>
        <w:autoSpaceDE w:val="0"/>
        <w:autoSpaceDN w:val="0"/>
        <w:adjustRightInd w:val="0"/>
        <w:ind w:left="851" w:hanging="425"/>
        <w:jc w:val="both"/>
        <w:rPr>
          <w:rFonts w:ascii="Arial" w:hAnsi="Arial" w:cs="Arial"/>
          <w:color w:val="000000"/>
          <w:sz w:val="24"/>
          <w:szCs w:val="24"/>
        </w:rPr>
      </w:pPr>
      <w:r w:rsidRPr="00D238EB">
        <w:rPr>
          <w:rFonts w:ascii="Arial" w:hAnsi="Arial" w:cs="Arial"/>
          <w:color w:val="000000"/>
          <w:sz w:val="24"/>
          <w:szCs w:val="24"/>
        </w:rPr>
        <w:t xml:space="preserve">Advice </w:t>
      </w:r>
      <w:r>
        <w:rPr>
          <w:rFonts w:ascii="Arial" w:hAnsi="Arial" w:cs="Arial"/>
          <w:color w:val="000000"/>
          <w:sz w:val="24"/>
          <w:szCs w:val="24"/>
        </w:rPr>
        <w:t xml:space="preserve">for people with hypertension </w:t>
      </w:r>
      <w:r w:rsidRPr="00D238EB">
        <w:rPr>
          <w:rFonts w:ascii="Arial" w:hAnsi="Arial" w:cs="Arial"/>
          <w:color w:val="000000"/>
          <w:sz w:val="24"/>
          <w:szCs w:val="24"/>
        </w:rPr>
        <w:t>to increase physical activity;</w:t>
      </w:r>
    </w:p>
    <w:p w:rsidR="00645A76" w:rsidRPr="00D238EB" w:rsidRDefault="00645A76" w:rsidP="00645A76">
      <w:pPr>
        <w:numPr>
          <w:ilvl w:val="0"/>
          <w:numId w:val="2"/>
        </w:numPr>
        <w:tabs>
          <w:tab w:val="clear" w:pos="1474"/>
          <w:tab w:val="left" w:pos="426"/>
          <w:tab w:val="num" w:pos="851"/>
        </w:tabs>
        <w:autoSpaceDE w:val="0"/>
        <w:autoSpaceDN w:val="0"/>
        <w:adjustRightInd w:val="0"/>
        <w:ind w:left="851" w:hanging="425"/>
        <w:jc w:val="both"/>
        <w:rPr>
          <w:rFonts w:ascii="Arial" w:hAnsi="Arial" w:cs="Arial"/>
          <w:color w:val="000000"/>
          <w:sz w:val="24"/>
          <w:szCs w:val="24"/>
        </w:rPr>
      </w:pPr>
      <w:r w:rsidRPr="00D238EB">
        <w:rPr>
          <w:rFonts w:ascii="Arial" w:hAnsi="Arial" w:cs="Arial"/>
          <w:color w:val="000000"/>
          <w:sz w:val="24"/>
          <w:szCs w:val="24"/>
        </w:rPr>
        <w:t xml:space="preserve">Referral to rehabilitation for people with chronic obstructive pulmonary disease </w:t>
      </w:r>
      <w:r>
        <w:rPr>
          <w:rFonts w:ascii="Arial" w:hAnsi="Arial" w:cs="Arial"/>
          <w:color w:val="000000"/>
          <w:sz w:val="24"/>
          <w:szCs w:val="24"/>
        </w:rPr>
        <w:t>or</w:t>
      </w:r>
      <w:r w:rsidRPr="00D238EB">
        <w:rPr>
          <w:rFonts w:ascii="Arial" w:hAnsi="Arial" w:cs="Arial"/>
          <w:color w:val="000000"/>
          <w:sz w:val="24"/>
          <w:szCs w:val="24"/>
        </w:rPr>
        <w:t xml:space="preserve"> heart failure ;</w:t>
      </w:r>
    </w:p>
    <w:p w:rsidR="00645A76" w:rsidRPr="00D238EB" w:rsidRDefault="00645A76" w:rsidP="00645A76">
      <w:pPr>
        <w:numPr>
          <w:ilvl w:val="0"/>
          <w:numId w:val="2"/>
        </w:numPr>
        <w:tabs>
          <w:tab w:val="clear" w:pos="1474"/>
          <w:tab w:val="left" w:pos="426"/>
          <w:tab w:val="num" w:pos="851"/>
        </w:tabs>
        <w:autoSpaceDE w:val="0"/>
        <w:autoSpaceDN w:val="0"/>
        <w:adjustRightInd w:val="0"/>
        <w:ind w:left="851" w:hanging="425"/>
        <w:jc w:val="both"/>
        <w:rPr>
          <w:rFonts w:ascii="Arial" w:hAnsi="Arial" w:cs="Arial"/>
          <w:color w:val="000000"/>
          <w:sz w:val="24"/>
          <w:szCs w:val="24"/>
        </w:rPr>
      </w:pPr>
      <w:r>
        <w:rPr>
          <w:rFonts w:ascii="Arial" w:hAnsi="Arial" w:cs="Arial"/>
          <w:color w:val="000000"/>
          <w:sz w:val="24"/>
          <w:szCs w:val="24"/>
        </w:rPr>
        <w:t>For</w:t>
      </w:r>
      <w:r w:rsidRPr="00D238EB">
        <w:rPr>
          <w:rFonts w:ascii="Arial" w:hAnsi="Arial" w:cs="Arial"/>
          <w:color w:val="000000"/>
          <w:sz w:val="24"/>
          <w:szCs w:val="24"/>
        </w:rPr>
        <w:t xml:space="preserve"> people newly diagnosed with depression </w:t>
      </w:r>
      <w:r>
        <w:rPr>
          <w:rFonts w:ascii="Arial" w:hAnsi="Arial" w:cs="Arial"/>
          <w:color w:val="000000"/>
          <w:sz w:val="24"/>
          <w:szCs w:val="24"/>
        </w:rPr>
        <w:t xml:space="preserve">assessment of </w:t>
      </w:r>
      <w:r w:rsidRPr="00D238EB">
        <w:rPr>
          <w:rFonts w:ascii="Arial" w:hAnsi="Arial" w:cs="Arial"/>
          <w:color w:val="000000"/>
          <w:sz w:val="24"/>
          <w:szCs w:val="24"/>
        </w:rPr>
        <w:t>their mental, physical and social needs and review within 10-35 days of diagnosis;</w:t>
      </w:r>
    </w:p>
    <w:p w:rsidR="00645A76" w:rsidRPr="00D238EB" w:rsidRDefault="00645A76" w:rsidP="00645A76">
      <w:pPr>
        <w:numPr>
          <w:ilvl w:val="0"/>
          <w:numId w:val="2"/>
        </w:numPr>
        <w:tabs>
          <w:tab w:val="clear" w:pos="1474"/>
          <w:tab w:val="left" w:pos="426"/>
          <w:tab w:val="num" w:pos="851"/>
        </w:tabs>
        <w:autoSpaceDE w:val="0"/>
        <w:autoSpaceDN w:val="0"/>
        <w:adjustRightInd w:val="0"/>
        <w:ind w:left="851" w:hanging="425"/>
        <w:jc w:val="both"/>
        <w:rPr>
          <w:rFonts w:ascii="Arial" w:hAnsi="Arial" w:cs="Arial"/>
          <w:color w:val="000000"/>
          <w:sz w:val="24"/>
          <w:szCs w:val="24"/>
        </w:rPr>
      </w:pPr>
      <w:r w:rsidRPr="00D238EB">
        <w:rPr>
          <w:rFonts w:ascii="Arial" w:hAnsi="Arial" w:cs="Arial"/>
          <w:color w:val="000000"/>
          <w:sz w:val="24"/>
          <w:szCs w:val="24"/>
        </w:rPr>
        <w:t>Improved support for cancer patients;</w:t>
      </w:r>
    </w:p>
    <w:p w:rsidR="00645A76" w:rsidRPr="00D238EB" w:rsidRDefault="00645A76" w:rsidP="00645A76">
      <w:pPr>
        <w:numPr>
          <w:ilvl w:val="0"/>
          <w:numId w:val="2"/>
        </w:numPr>
        <w:tabs>
          <w:tab w:val="clear" w:pos="1474"/>
          <w:tab w:val="left" w:pos="426"/>
          <w:tab w:val="num" w:pos="851"/>
        </w:tabs>
        <w:autoSpaceDE w:val="0"/>
        <w:autoSpaceDN w:val="0"/>
        <w:adjustRightInd w:val="0"/>
        <w:ind w:left="851" w:hanging="425"/>
        <w:jc w:val="both"/>
        <w:rPr>
          <w:rFonts w:ascii="Arial" w:hAnsi="Arial" w:cs="Arial"/>
          <w:color w:val="000000"/>
          <w:sz w:val="24"/>
          <w:szCs w:val="24"/>
        </w:rPr>
      </w:pPr>
      <w:r w:rsidRPr="00D238EB">
        <w:rPr>
          <w:rFonts w:ascii="Arial" w:hAnsi="Arial" w:cs="Arial"/>
          <w:color w:val="000000"/>
          <w:sz w:val="24"/>
          <w:szCs w:val="24"/>
        </w:rPr>
        <w:t>Improved care for patients with rheumatoid arthritis;</w:t>
      </w:r>
    </w:p>
    <w:p w:rsidR="00645A76" w:rsidRPr="00D238EB" w:rsidRDefault="00645A76" w:rsidP="00645A76">
      <w:pPr>
        <w:numPr>
          <w:ilvl w:val="0"/>
          <w:numId w:val="2"/>
        </w:numPr>
        <w:tabs>
          <w:tab w:val="clear" w:pos="1474"/>
          <w:tab w:val="left" w:pos="426"/>
          <w:tab w:val="num" w:pos="851"/>
        </w:tabs>
        <w:autoSpaceDE w:val="0"/>
        <w:autoSpaceDN w:val="0"/>
        <w:adjustRightInd w:val="0"/>
        <w:ind w:left="851" w:hanging="425"/>
        <w:jc w:val="both"/>
        <w:rPr>
          <w:rFonts w:ascii="Arial" w:hAnsi="Arial" w:cs="Arial"/>
          <w:color w:val="000000"/>
          <w:sz w:val="24"/>
          <w:szCs w:val="24"/>
        </w:rPr>
      </w:pPr>
      <w:r>
        <w:rPr>
          <w:rFonts w:ascii="Arial" w:hAnsi="Arial" w:cs="Arial"/>
          <w:color w:val="000000"/>
          <w:sz w:val="24"/>
          <w:szCs w:val="24"/>
        </w:rPr>
        <w:lastRenderedPageBreak/>
        <w:t xml:space="preserve">Patients with diabetes referred for </w:t>
      </w:r>
      <w:r w:rsidRPr="00D238EB">
        <w:rPr>
          <w:rFonts w:ascii="Arial" w:hAnsi="Arial" w:cs="Arial"/>
          <w:color w:val="000000"/>
          <w:sz w:val="24"/>
          <w:szCs w:val="24"/>
        </w:rPr>
        <w:t xml:space="preserve">structured education and dietary advice to </w:t>
      </w:r>
      <w:r>
        <w:rPr>
          <w:rFonts w:ascii="Arial" w:hAnsi="Arial" w:cs="Arial"/>
          <w:color w:val="000000"/>
          <w:sz w:val="24"/>
          <w:szCs w:val="24"/>
        </w:rPr>
        <w:t>reduce</w:t>
      </w:r>
      <w:r w:rsidRPr="00D238EB">
        <w:rPr>
          <w:rFonts w:ascii="Arial" w:hAnsi="Arial" w:cs="Arial"/>
          <w:color w:val="000000"/>
          <w:sz w:val="24"/>
          <w:szCs w:val="24"/>
        </w:rPr>
        <w:t xml:space="preserve"> complications and ill-health. </w:t>
      </w:r>
      <w:r>
        <w:rPr>
          <w:rFonts w:ascii="Arial" w:hAnsi="Arial" w:cs="Arial"/>
          <w:color w:val="000000"/>
          <w:sz w:val="24"/>
          <w:szCs w:val="24"/>
        </w:rPr>
        <w:t xml:space="preserve">Screening of </w:t>
      </w:r>
      <w:r w:rsidRPr="00D238EB">
        <w:rPr>
          <w:rFonts w:ascii="Arial" w:hAnsi="Arial" w:cs="Arial"/>
          <w:color w:val="000000"/>
          <w:sz w:val="24"/>
          <w:szCs w:val="24"/>
        </w:rPr>
        <w:t xml:space="preserve">male patients with diabetes </w:t>
      </w:r>
      <w:r>
        <w:rPr>
          <w:rFonts w:ascii="Arial" w:hAnsi="Arial" w:cs="Arial"/>
          <w:color w:val="000000"/>
          <w:sz w:val="24"/>
          <w:szCs w:val="24"/>
        </w:rPr>
        <w:t xml:space="preserve">for </w:t>
      </w:r>
      <w:r w:rsidRPr="00D238EB">
        <w:rPr>
          <w:rFonts w:ascii="Arial" w:hAnsi="Arial" w:cs="Arial"/>
          <w:color w:val="000000"/>
          <w:sz w:val="24"/>
          <w:szCs w:val="24"/>
        </w:rPr>
        <w:t>erectile dysfunction</w:t>
      </w:r>
      <w:r>
        <w:rPr>
          <w:rFonts w:ascii="Arial" w:hAnsi="Arial" w:cs="Arial"/>
          <w:color w:val="000000"/>
          <w:sz w:val="24"/>
          <w:szCs w:val="24"/>
        </w:rPr>
        <w:t xml:space="preserve"> and provision of advice.</w:t>
      </w:r>
    </w:p>
    <w:p w:rsidR="00645A76" w:rsidRPr="00D238EB" w:rsidRDefault="00645A76" w:rsidP="00645A76">
      <w:pPr>
        <w:jc w:val="both"/>
        <w:rPr>
          <w:rFonts w:ascii="Arial" w:hAnsi="Arial" w:cs="Arial"/>
          <w:b/>
          <w:sz w:val="24"/>
          <w:szCs w:val="24"/>
        </w:rPr>
      </w:pPr>
    </w:p>
    <w:p w:rsidR="00645A76" w:rsidRDefault="00645A76" w:rsidP="00645A76">
      <w:pPr>
        <w:numPr>
          <w:ilvl w:val="0"/>
          <w:numId w:val="8"/>
        </w:numPr>
        <w:tabs>
          <w:tab w:val="num" w:pos="426"/>
        </w:tabs>
        <w:ind w:left="426" w:hanging="426"/>
        <w:jc w:val="both"/>
        <w:rPr>
          <w:rFonts w:ascii="Arial" w:hAnsi="Arial" w:cs="Arial"/>
          <w:sz w:val="24"/>
          <w:szCs w:val="24"/>
        </w:rPr>
      </w:pPr>
      <w:r w:rsidRPr="00D238EB">
        <w:rPr>
          <w:rFonts w:ascii="Arial" w:hAnsi="Arial" w:cs="Arial"/>
          <w:sz w:val="24"/>
          <w:szCs w:val="24"/>
        </w:rPr>
        <w:t xml:space="preserve">The new and </w:t>
      </w:r>
      <w:r>
        <w:rPr>
          <w:rFonts w:ascii="Arial" w:hAnsi="Arial" w:cs="Arial"/>
          <w:sz w:val="24"/>
          <w:szCs w:val="24"/>
        </w:rPr>
        <w:t xml:space="preserve">replacement indicators would be partly </w:t>
      </w:r>
      <w:r w:rsidRPr="00D238EB">
        <w:rPr>
          <w:rFonts w:ascii="Arial" w:hAnsi="Arial" w:cs="Arial"/>
          <w:sz w:val="24"/>
          <w:szCs w:val="24"/>
        </w:rPr>
        <w:t xml:space="preserve">funded by accepting NICE recommendations for retiring indicators from the Clinical Domain and partly by retirements of indicators from the Organisational Domain.  </w:t>
      </w:r>
    </w:p>
    <w:p w:rsidR="00645A76" w:rsidRDefault="00645A76" w:rsidP="00645A76">
      <w:pPr>
        <w:ind w:left="426"/>
        <w:jc w:val="both"/>
        <w:rPr>
          <w:rFonts w:ascii="Arial" w:hAnsi="Arial" w:cs="Arial"/>
          <w:sz w:val="24"/>
          <w:szCs w:val="24"/>
        </w:rPr>
      </w:pPr>
    </w:p>
    <w:p w:rsidR="00645A76" w:rsidRPr="008457BA" w:rsidRDefault="00645A76" w:rsidP="00645A76">
      <w:pPr>
        <w:numPr>
          <w:ilvl w:val="0"/>
          <w:numId w:val="8"/>
        </w:numPr>
        <w:tabs>
          <w:tab w:val="num" w:pos="426"/>
        </w:tabs>
        <w:ind w:left="426" w:hanging="426"/>
        <w:jc w:val="both"/>
        <w:rPr>
          <w:rFonts w:ascii="Arial" w:hAnsi="Arial" w:cs="Arial"/>
          <w:sz w:val="24"/>
          <w:szCs w:val="24"/>
        </w:rPr>
      </w:pPr>
      <w:r w:rsidRPr="008457BA">
        <w:rPr>
          <w:rFonts w:ascii="Arial" w:hAnsi="Arial" w:cs="Arial"/>
          <w:sz w:val="24"/>
          <w:szCs w:val="24"/>
        </w:rPr>
        <w:t xml:space="preserve">A document setting out the details of the proposed new and replacement indicators and the proposed thresholds and points is in attached </w:t>
      </w:r>
      <w:r w:rsidRPr="008457BA">
        <w:rPr>
          <w:rFonts w:ascii="Arial" w:hAnsi="Arial" w:cs="Arial"/>
          <w:b/>
          <w:bCs/>
          <w:sz w:val="24"/>
          <w:szCs w:val="24"/>
        </w:rPr>
        <w:t>Appendix 1</w:t>
      </w:r>
      <w:r w:rsidRPr="008457BA">
        <w:rPr>
          <w:rFonts w:ascii="Arial" w:hAnsi="Arial" w:cs="Arial"/>
          <w:sz w:val="24"/>
          <w:szCs w:val="24"/>
        </w:rPr>
        <w:t xml:space="preserve">. </w:t>
      </w:r>
    </w:p>
    <w:p w:rsidR="00645A76" w:rsidRDefault="00645A76" w:rsidP="00645A76">
      <w:pPr>
        <w:pStyle w:val="ListParagraph"/>
        <w:jc w:val="both"/>
        <w:rPr>
          <w:bCs/>
          <w:szCs w:val="24"/>
        </w:rPr>
      </w:pPr>
    </w:p>
    <w:p w:rsidR="00645A76" w:rsidRDefault="00645A76" w:rsidP="00645A76">
      <w:pPr>
        <w:jc w:val="both"/>
        <w:rPr>
          <w:rFonts w:ascii="Arial" w:hAnsi="Arial" w:cs="Arial"/>
          <w:b/>
          <w:sz w:val="24"/>
          <w:szCs w:val="24"/>
        </w:rPr>
      </w:pPr>
      <w:r w:rsidRPr="00D238EB">
        <w:rPr>
          <w:rFonts w:ascii="Arial" w:hAnsi="Arial" w:cs="Arial"/>
          <w:b/>
          <w:sz w:val="24"/>
          <w:szCs w:val="24"/>
        </w:rPr>
        <w:t>Public Health Domain</w:t>
      </w:r>
    </w:p>
    <w:p w:rsidR="00645A76" w:rsidRPr="00D238EB" w:rsidRDefault="00645A76" w:rsidP="00645A76">
      <w:pPr>
        <w:jc w:val="both"/>
        <w:rPr>
          <w:rFonts w:ascii="Arial" w:hAnsi="Arial" w:cs="Arial"/>
          <w:b/>
          <w:sz w:val="24"/>
          <w:szCs w:val="24"/>
        </w:rPr>
      </w:pPr>
    </w:p>
    <w:p w:rsidR="00645A76" w:rsidRPr="00214098" w:rsidRDefault="00645A76" w:rsidP="00645A76">
      <w:pPr>
        <w:numPr>
          <w:ilvl w:val="0"/>
          <w:numId w:val="8"/>
        </w:numPr>
        <w:tabs>
          <w:tab w:val="num" w:pos="426"/>
        </w:tabs>
        <w:ind w:left="426" w:hanging="426"/>
        <w:jc w:val="both"/>
        <w:rPr>
          <w:rFonts w:ascii="Arial" w:hAnsi="Arial" w:cs="Arial"/>
          <w:color w:val="000000"/>
          <w:sz w:val="24"/>
          <w:szCs w:val="24"/>
        </w:rPr>
      </w:pPr>
      <w:r w:rsidRPr="00D238EB">
        <w:rPr>
          <w:rFonts w:ascii="Arial" w:hAnsi="Arial" w:cs="Arial"/>
          <w:color w:val="000000"/>
          <w:sz w:val="24"/>
          <w:szCs w:val="24"/>
        </w:rPr>
        <w:t>The 2010 Public Health White Paper</w:t>
      </w:r>
      <w:r>
        <w:rPr>
          <w:rFonts w:ascii="Arial" w:hAnsi="Arial" w:cs="Arial"/>
          <w:color w:val="000000"/>
          <w:sz w:val="24"/>
          <w:szCs w:val="24"/>
        </w:rPr>
        <w:t>,</w:t>
      </w:r>
      <w:r w:rsidRPr="00D238EB">
        <w:rPr>
          <w:rFonts w:ascii="Arial" w:hAnsi="Arial" w:cs="Arial"/>
          <w:color w:val="000000"/>
          <w:sz w:val="24"/>
          <w:szCs w:val="24"/>
        </w:rPr>
        <w:t xml:space="preserve"> and the </w:t>
      </w:r>
      <w:r>
        <w:rPr>
          <w:rFonts w:ascii="Arial" w:hAnsi="Arial" w:cs="Arial"/>
          <w:color w:val="000000"/>
          <w:sz w:val="24"/>
          <w:szCs w:val="24"/>
        </w:rPr>
        <w:t xml:space="preserve">subsequent </w:t>
      </w:r>
      <w:r w:rsidRPr="00D238EB">
        <w:rPr>
          <w:rFonts w:ascii="Arial" w:hAnsi="Arial" w:cs="Arial"/>
          <w:color w:val="000000"/>
          <w:sz w:val="24"/>
          <w:szCs w:val="24"/>
        </w:rPr>
        <w:t>consultation on commissioning public health services</w:t>
      </w:r>
      <w:r>
        <w:rPr>
          <w:rFonts w:ascii="Arial" w:hAnsi="Arial" w:cs="Arial"/>
          <w:color w:val="000000"/>
          <w:sz w:val="24"/>
          <w:szCs w:val="24"/>
        </w:rPr>
        <w:t>,</w:t>
      </w:r>
      <w:r w:rsidRPr="00D238EB">
        <w:rPr>
          <w:rFonts w:ascii="Arial" w:hAnsi="Arial" w:cs="Arial"/>
          <w:color w:val="000000"/>
          <w:sz w:val="24"/>
          <w:szCs w:val="24"/>
        </w:rPr>
        <w:t xml:space="preserve"> proposed that </w:t>
      </w:r>
      <w:r>
        <w:rPr>
          <w:rFonts w:ascii="Arial" w:hAnsi="Arial" w:cs="Arial"/>
          <w:color w:val="000000"/>
          <w:sz w:val="24"/>
          <w:szCs w:val="24"/>
        </w:rPr>
        <w:t xml:space="preserve">at least </w:t>
      </w:r>
      <w:r w:rsidRPr="00D238EB">
        <w:rPr>
          <w:rFonts w:ascii="Arial" w:hAnsi="Arial" w:cs="Arial"/>
          <w:color w:val="000000"/>
          <w:sz w:val="24"/>
          <w:szCs w:val="24"/>
        </w:rPr>
        <w:t>15% of the value of the current QOF would be devoted to evidence</w:t>
      </w:r>
      <w:r>
        <w:rPr>
          <w:rFonts w:ascii="Arial" w:hAnsi="Arial" w:cs="Arial"/>
          <w:color w:val="000000"/>
          <w:sz w:val="24"/>
          <w:szCs w:val="24"/>
        </w:rPr>
        <w:t>-</w:t>
      </w:r>
      <w:r w:rsidRPr="00D238EB">
        <w:rPr>
          <w:rFonts w:ascii="Arial" w:hAnsi="Arial" w:cs="Arial"/>
          <w:color w:val="000000"/>
          <w:sz w:val="24"/>
          <w:szCs w:val="24"/>
        </w:rPr>
        <w:t xml:space="preserve">based public health and primary prevention indicators from 2013. </w:t>
      </w:r>
      <w:r>
        <w:rPr>
          <w:rFonts w:ascii="Arial" w:hAnsi="Arial" w:cs="Arial"/>
          <w:color w:val="000000"/>
          <w:sz w:val="24"/>
          <w:szCs w:val="24"/>
        </w:rPr>
        <w:t xml:space="preserve"> </w:t>
      </w:r>
      <w:r w:rsidRPr="00D238EB">
        <w:rPr>
          <w:rFonts w:ascii="Arial" w:hAnsi="Arial" w:cs="Arial"/>
          <w:sz w:val="24"/>
          <w:szCs w:val="24"/>
        </w:rPr>
        <w:t>The proposals for setting up the Public Health Domain were discussed with GPC at a meeting with the health departments, NICE and NHS Employers on 6 June and then subsequently by the negotiating parties.</w:t>
      </w:r>
    </w:p>
    <w:p w:rsidR="00645A76" w:rsidRPr="00214098" w:rsidRDefault="00645A76" w:rsidP="00645A76">
      <w:pPr>
        <w:tabs>
          <w:tab w:val="left" w:pos="426"/>
        </w:tabs>
        <w:autoSpaceDE w:val="0"/>
        <w:autoSpaceDN w:val="0"/>
        <w:adjustRightInd w:val="0"/>
        <w:jc w:val="both"/>
        <w:rPr>
          <w:rFonts w:ascii="Arial" w:hAnsi="Arial" w:cs="Arial"/>
          <w:color w:val="000000"/>
          <w:sz w:val="24"/>
          <w:szCs w:val="24"/>
        </w:rPr>
      </w:pPr>
    </w:p>
    <w:p w:rsidR="00645A76" w:rsidRPr="00214098" w:rsidRDefault="00645A76" w:rsidP="00645A76">
      <w:pPr>
        <w:numPr>
          <w:ilvl w:val="0"/>
          <w:numId w:val="8"/>
        </w:numPr>
        <w:tabs>
          <w:tab w:val="num" w:pos="0"/>
          <w:tab w:val="left" w:pos="426"/>
        </w:tabs>
        <w:autoSpaceDE w:val="0"/>
        <w:autoSpaceDN w:val="0"/>
        <w:adjustRightInd w:val="0"/>
        <w:ind w:left="426" w:hanging="426"/>
        <w:jc w:val="both"/>
        <w:rPr>
          <w:rFonts w:ascii="Arial" w:hAnsi="Arial" w:cs="Arial"/>
          <w:color w:val="000000"/>
          <w:sz w:val="24"/>
          <w:szCs w:val="24"/>
        </w:rPr>
      </w:pPr>
      <w:r>
        <w:rPr>
          <w:rFonts w:ascii="Arial" w:hAnsi="Arial" w:cs="Arial"/>
          <w:color w:val="000000"/>
          <w:sz w:val="24"/>
          <w:szCs w:val="24"/>
        </w:rPr>
        <w:t>Following those discussions and the further negotiations, it is</w:t>
      </w:r>
      <w:r w:rsidRPr="00D238EB">
        <w:rPr>
          <w:rFonts w:ascii="Arial" w:hAnsi="Arial" w:cs="Arial"/>
          <w:sz w:val="24"/>
          <w:szCs w:val="24"/>
        </w:rPr>
        <w:t xml:space="preserve"> propose</w:t>
      </w:r>
      <w:r>
        <w:rPr>
          <w:rFonts w:ascii="Arial" w:hAnsi="Arial" w:cs="Arial"/>
          <w:sz w:val="24"/>
          <w:szCs w:val="24"/>
        </w:rPr>
        <w:t>d</w:t>
      </w:r>
      <w:r w:rsidRPr="00D238EB">
        <w:rPr>
          <w:rFonts w:ascii="Arial" w:hAnsi="Arial" w:cs="Arial"/>
          <w:sz w:val="24"/>
          <w:szCs w:val="24"/>
        </w:rPr>
        <w:t xml:space="preserve"> to move the current indicator areas that are </w:t>
      </w:r>
      <w:r w:rsidRPr="00D238EB">
        <w:rPr>
          <w:rFonts w:ascii="Arial" w:hAnsi="Arial" w:cs="Arial"/>
          <w:color w:val="000000"/>
          <w:sz w:val="24"/>
          <w:szCs w:val="24"/>
        </w:rPr>
        <w:t xml:space="preserve">mainly related to public health functions into </w:t>
      </w:r>
      <w:r>
        <w:rPr>
          <w:rFonts w:ascii="Arial" w:hAnsi="Arial" w:cs="Arial"/>
          <w:color w:val="000000"/>
          <w:sz w:val="24"/>
          <w:szCs w:val="24"/>
        </w:rPr>
        <w:t xml:space="preserve">a </w:t>
      </w:r>
      <w:r w:rsidRPr="00D238EB">
        <w:rPr>
          <w:rFonts w:ascii="Arial" w:hAnsi="Arial" w:cs="Arial"/>
          <w:color w:val="000000"/>
          <w:sz w:val="24"/>
          <w:szCs w:val="24"/>
        </w:rPr>
        <w:t xml:space="preserve">new Public Health Domain, following </w:t>
      </w:r>
      <w:r w:rsidRPr="00D238EB">
        <w:rPr>
          <w:rFonts w:ascii="Arial" w:hAnsi="Arial" w:cs="Arial"/>
          <w:sz w:val="24"/>
          <w:szCs w:val="24"/>
        </w:rPr>
        <w:t xml:space="preserve">the rationale and selection of indicators already agreed with the </w:t>
      </w:r>
      <w:r>
        <w:rPr>
          <w:rFonts w:ascii="Arial" w:hAnsi="Arial" w:cs="Arial"/>
          <w:sz w:val="24"/>
          <w:szCs w:val="24"/>
        </w:rPr>
        <w:t>GPC</w:t>
      </w:r>
      <w:r w:rsidRPr="00D238EB">
        <w:rPr>
          <w:rFonts w:ascii="Arial" w:hAnsi="Arial" w:cs="Arial"/>
          <w:sz w:val="24"/>
          <w:szCs w:val="24"/>
        </w:rPr>
        <w:t>. This w</w:t>
      </w:r>
      <w:r>
        <w:rPr>
          <w:rFonts w:ascii="Arial" w:hAnsi="Arial" w:cs="Arial"/>
          <w:sz w:val="24"/>
          <w:szCs w:val="24"/>
        </w:rPr>
        <w:t xml:space="preserve">ill </w:t>
      </w:r>
      <w:r w:rsidRPr="00D238EB">
        <w:rPr>
          <w:rFonts w:ascii="Arial" w:hAnsi="Arial" w:cs="Arial"/>
          <w:sz w:val="24"/>
          <w:szCs w:val="24"/>
        </w:rPr>
        <w:t xml:space="preserve">result in just over 15% of current QOF points moving into the </w:t>
      </w:r>
      <w:r>
        <w:rPr>
          <w:rFonts w:ascii="Arial" w:hAnsi="Arial" w:cs="Arial"/>
          <w:sz w:val="24"/>
          <w:szCs w:val="24"/>
        </w:rPr>
        <w:t xml:space="preserve">proposed </w:t>
      </w:r>
      <w:r w:rsidRPr="00D238EB">
        <w:rPr>
          <w:rFonts w:ascii="Arial" w:hAnsi="Arial" w:cs="Arial"/>
          <w:sz w:val="24"/>
          <w:szCs w:val="24"/>
        </w:rPr>
        <w:t xml:space="preserve">Public </w:t>
      </w:r>
      <w:r>
        <w:rPr>
          <w:rFonts w:ascii="Arial" w:hAnsi="Arial" w:cs="Arial"/>
          <w:sz w:val="24"/>
          <w:szCs w:val="24"/>
        </w:rPr>
        <w:t>H</w:t>
      </w:r>
      <w:r w:rsidRPr="00D238EB">
        <w:rPr>
          <w:rFonts w:ascii="Arial" w:hAnsi="Arial" w:cs="Arial"/>
          <w:sz w:val="24"/>
          <w:szCs w:val="24"/>
        </w:rPr>
        <w:t>ealth Domain (15</w:t>
      </w:r>
      <w:r>
        <w:rPr>
          <w:rFonts w:ascii="Arial" w:hAnsi="Arial" w:cs="Arial"/>
          <w:sz w:val="24"/>
          <w:szCs w:val="24"/>
        </w:rPr>
        <w:t>7</w:t>
      </w:r>
      <w:r w:rsidRPr="00D238EB">
        <w:rPr>
          <w:rFonts w:ascii="Arial" w:hAnsi="Arial" w:cs="Arial"/>
          <w:sz w:val="24"/>
          <w:szCs w:val="24"/>
        </w:rPr>
        <w:t xml:space="preserve"> points</w:t>
      </w:r>
      <w:r>
        <w:rPr>
          <w:rFonts w:ascii="Arial" w:hAnsi="Arial" w:cs="Arial"/>
          <w:sz w:val="24"/>
          <w:szCs w:val="24"/>
        </w:rPr>
        <w:t xml:space="preserve"> worth £7.1m) as </w:t>
      </w:r>
      <w:r w:rsidRPr="00D238EB">
        <w:rPr>
          <w:rFonts w:ascii="Arial" w:hAnsi="Arial" w:cs="Arial"/>
          <w:sz w:val="24"/>
          <w:szCs w:val="24"/>
        </w:rPr>
        <w:t xml:space="preserve">a </w:t>
      </w:r>
      <w:r>
        <w:rPr>
          <w:rFonts w:ascii="Arial" w:hAnsi="Arial" w:cs="Arial"/>
          <w:sz w:val="24"/>
          <w:szCs w:val="24"/>
        </w:rPr>
        <w:t>resource</w:t>
      </w:r>
      <w:r w:rsidRPr="00D238EB">
        <w:rPr>
          <w:rFonts w:ascii="Arial" w:hAnsi="Arial" w:cs="Arial"/>
          <w:sz w:val="24"/>
          <w:szCs w:val="24"/>
        </w:rPr>
        <w:t xml:space="preserve"> neutral change. Details of the rationale and the areas and indicators proposed to move into the Public Health Domain are attached at </w:t>
      </w:r>
      <w:r w:rsidRPr="003F0307">
        <w:rPr>
          <w:rFonts w:ascii="Arial" w:hAnsi="Arial" w:cs="Arial"/>
          <w:b/>
          <w:bCs/>
          <w:sz w:val="24"/>
          <w:szCs w:val="24"/>
        </w:rPr>
        <w:t>Appendix 2</w:t>
      </w:r>
      <w:r w:rsidRPr="00D238EB">
        <w:rPr>
          <w:rFonts w:ascii="Arial" w:hAnsi="Arial" w:cs="Arial"/>
          <w:sz w:val="24"/>
          <w:szCs w:val="24"/>
        </w:rPr>
        <w:t>.</w:t>
      </w:r>
    </w:p>
    <w:p w:rsidR="00645A76" w:rsidRDefault="00645A76" w:rsidP="00645A76">
      <w:pPr>
        <w:tabs>
          <w:tab w:val="left" w:pos="540"/>
        </w:tabs>
        <w:autoSpaceDE w:val="0"/>
        <w:autoSpaceDN w:val="0"/>
        <w:adjustRightInd w:val="0"/>
        <w:jc w:val="both"/>
        <w:rPr>
          <w:rFonts w:ascii="Arial" w:hAnsi="Arial" w:cs="Arial"/>
          <w:color w:val="000000"/>
          <w:sz w:val="24"/>
          <w:szCs w:val="24"/>
        </w:rPr>
      </w:pPr>
    </w:p>
    <w:p w:rsidR="00645A76" w:rsidRPr="00D238EB" w:rsidRDefault="00645A76" w:rsidP="00645A76">
      <w:pPr>
        <w:numPr>
          <w:ilvl w:val="0"/>
          <w:numId w:val="8"/>
        </w:numPr>
        <w:tabs>
          <w:tab w:val="left" w:pos="426"/>
        </w:tabs>
        <w:autoSpaceDE w:val="0"/>
        <w:autoSpaceDN w:val="0"/>
        <w:adjustRightInd w:val="0"/>
        <w:ind w:left="426" w:hanging="426"/>
        <w:jc w:val="both"/>
        <w:rPr>
          <w:rFonts w:ascii="Arial" w:hAnsi="Arial" w:cs="Arial"/>
          <w:color w:val="000000"/>
          <w:sz w:val="24"/>
          <w:szCs w:val="24"/>
        </w:rPr>
      </w:pPr>
      <w:r w:rsidRPr="00D238EB">
        <w:rPr>
          <w:rFonts w:ascii="Arial" w:hAnsi="Arial" w:cs="Arial"/>
          <w:color w:val="000000"/>
          <w:sz w:val="24"/>
          <w:szCs w:val="24"/>
        </w:rPr>
        <w:t>The Public Health Domain would continue to operate as an integral part of the QOF within the GP contract. All of the QOF payment rules in operation at th</w:t>
      </w:r>
      <w:r>
        <w:rPr>
          <w:rFonts w:ascii="Arial" w:hAnsi="Arial" w:cs="Arial"/>
          <w:color w:val="000000"/>
          <w:sz w:val="24"/>
          <w:szCs w:val="24"/>
        </w:rPr>
        <w:t>is</w:t>
      </w:r>
      <w:r w:rsidRPr="00D238EB">
        <w:rPr>
          <w:rFonts w:ascii="Arial" w:hAnsi="Arial" w:cs="Arial"/>
          <w:color w:val="000000"/>
          <w:sz w:val="24"/>
          <w:szCs w:val="24"/>
        </w:rPr>
        <w:t xml:space="preserve"> time would operate equally</w:t>
      </w:r>
      <w:r>
        <w:rPr>
          <w:rFonts w:ascii="Arial" w:hAnsi="Arial" w:cs="Arial"/>
          <w:color w:val="000000"/>
          <w:sz w:val="24"/>
          <w:szCs w:val="24"/>
        </w:rPr>
        <w:t xml:space="preserve"> and as appropriate</w:t>
      </w:r>
      <w:r w:rsidRPr="00D238EB">
        <w:rPr>
          <w:rFonts w:ascii="Arial" w:hAnsi="Arial" w:cs="Arial"/>
          <w:color w:val="000000"/>
          <w:sz w:val="24"/>
          <w:szCs w:val="24"/>
        </w:rPr>
        <w:t xml:space="preserve"> for the Public Health Domain</w:t>
      </w:r>
      <w:r>
        <w:rPr>
          <w:rFonts w:ascii="Arial" w:hAnsi="Arial" w:cs="Arial"/>
          <w:color w:val="000000"/>
          <w:sz w:val="24"/>
          <w:szCs w:val="24"/>
        </w:rPr>
        <w:t xml:space="preserve"> (for example, the prevalence weighting would apply to </w:t>
      </w:r>
      <w:r w:rsidRPr="00005D7C">
        <w:rPr>
          <w:rFonts w:ascii="Arial" w:hAnsi="Arial" w:cs="Arial"/>
          <w:sz w:val="24"/>
          <w:szCs w:val="24"/>
        </w:rPr>
        <w:t>indicators</w:t>
      </w:r>
      <w:r>
        <w:rPr>
          <w:rFonts w:ascii="Arial" w:hAnsi="Arial" w:cs="Arial"/>
          <w:color w:val="000000"/>
          <w:sz w:val="24"/>
          <w:szCs w:val="24"/>
        </w:rPr>
        <w:t xml:space="preserve"> from the Clinical Domain and the target population factor to indicators from the Additional Services Domain)</w:t>
      </w:r>
      <w:r w:rsidRPr="00D238EB">
        <w:rPr>
          <w:rFonts w:ascii="Arial" w:hAnsi="Arial" w:cs="Arial"/>
          <w:color w:val="000000"/>
          <w:sz w:val="24"/>
          <w:szCs w:val="24"/>
        </w:rPr>
        <w:t xml:space="preserve">. The </w:t>
      </w:r>
      <w:r>
        <w:rPr>
          <w:rFonts w:ascii="Arial" w:hAnsi="Arial" w:cs="Arial"/>
          <w:color w:val="000000"/>
          <w:sz w:val="24"/>
          <w:szCs w:val="24"/>
        </w:rPr>
        <w:t>priorities for the Public Health</w:t>
      </w:r>
      <w:r w:rsidRPr="00D238EB">
        <w:rPr>
          <w:rFonts w:ascii="Arial" w:hAnsi="Arial" w:cs="Arial"/>
          <w:color w:val="000000"/>
          <w:sz w:val="24"/>
          <w:szCs w:val="24"/>
        </w:rPr>
        <w:t xml:space="preserve"> Domain would</w:t>
      </w:r>
      <w:r>
        <w:rPr>
          <w:rFonts w:ascii="Arial" w:hAnsi="Arial" w:cs="Arial"/>
          <w:color w:val="000000"/>
          <w:sz w:val="24"/>
          <w:szCs w:val="24"/>
        </w:rPr>
        <w:t>,</w:t>
      </w:r>
      <w:r w:rsidRPr="00D238EB">
        <w:rPr>
          <w:rFonts w:ascii="Arial" w:hAnsi="Arial" w:cs="Arial"/>
          <w:color w:val="000000"/>
          <w:sz w:val="24"/>
          <w:szCs w:val="24"/>
        </w:rPr>
        <w:t xml:space="preserve"> from April 2013 onwards</w:t>
      </w:r>
      <w:r>
        <w:rPr>
          <w:rFonts w:ascii="Arial" w:hAnsi="Arial" w:cs="Arial"/>
          <w:color w:val="000000"/>
          <w:sz w:val="24"/>
          <w:szCs w:val="24"/>
        </w:rPr>
        <w:t>,</w:t>
      </w:r>
      <w:r w:rsidRPr="00D238EB">
        <w:rPr>
          <w:rFonts w:ascii="Arial" w:hAnsi="Arial" w:cs="Arial"/>
          <w:color w:val="000000"/>
          <w:sz w:val="24"/>
          <w:szCs w:val="24"/>
        </w:rPr>
        <w:t xml:space="preserve"> be decided by P</w:t>
      </w:r>
      <w:r>
        <w:rPr>
          <w:rFonts w:ascii="Arial" w:hAnsi="Arial" w:cs="Arial"/>
          <w:color w:val="000000"/>
          <w:sz w:val="24"/>
          <w:szCs w:val="24"/>
        </w:rPr>
        <w:t xml:space="preserve">ublic </w:t>
      </w:r>
      <w:r w:rsidRPr="00D238EB">
        <w:rPr>
          <w:rFonts w:ascii="Arial" w:hAnsi="Arial" w:cs="Arial"/>
          <w:color w:val="000000"/>
          <w:sz w:val="24"/>
          <w:szCs w:val="24"/>
        </w:rPr>
        <w:t>H</w:t>
      </w:r>
      <w:r>
        <w:rPr>
          <w:rFonts w:ascii="Arial" w:hAnsi="Arial" w:cs="Arial"/>
          <w:color w:val="000000"/>
          <w:sz w:val="24"/>
          <w:szCs w:val="24"/>
        </w:rPr>
        <w:t xml:space="preserve">ealth </w:t>
      </w:r>
      <w:r w:rsidRPr="00D238EB">
        <w:rPr>
          <w:rFonts w:ascii="Arial" w:hAnsi="Arial" w:cs="Arial"/>
          <w:color w:val="000000"/>
          <w:sz w:val="24"/>
          <w:szCs w:val="24"/>
        </w:rPr>
        <w:t>E</w:t>
      </w:r>
      <w:r>
        <w:rPr>
          <w:rFonts w:ascii="Arial" w:hAnsi="Arial" w:cs="Arial"/>
          <w:color w:val="000000"/>
          <w:sz w:val="24"/>
          <w:szCs w:val="24"/>
        </w:rPr>
        <w:t>ngland</w:t>
      </w:r>
      <w:r w:rsidRPr="00D238EB">
        <w:rPr>
          <w:rFonts w:ascii="Arial" w:hAnsi="Arial" w:cs="Arial"/>
          <w:color w:val="000000"/>
          <w:sz w:val="24"/>
          <w:szCs w:val="24"/>
        </w:rPr>
        <w:t xml:space="preserve"> </w:t>
      </w:r>
      <w:bookmarkStart w:id="1" w:name="OLE_LINK4"/>
      <w:bookmarkStart w:id="2" w:name="OLE_LINK11"/>
      <w:r w:rsidRPr="00D238EB">
        <w:rPr>
          <w:rFonts w:ascii="Arial" w:hAnsi="Arial" w:cs="Arial"/>
          <w:color w:val="000000"/>
          <w:sz w:val="24"/>
          <w:szCs w:val="24"/>
        </w:rPr>
        <w:t xml:space="preserve">(in consultation with the Devolved </w:t>
      </w:r>
      <w:r>
        <w:rPr>
          <w:rFonts w:ascii="Arial" w:hAnsi="Arial" w:cs="Arial"/>
          <w:color w:val="000000"/>
          <w:sz w:val="24"/>
          <w:szCs w:val="24"/>
        </w:rPr>
        <w:t>Governments</w:t>
      </w:r>
      <w:r w:rsidRPr="00D238EB">
        <w:rPr>
          <w:rFonts w:ascii="Arial" w:hAnsi="Arial" w:cs="Arial"/>
          <w:color w:val="000000"/>
          <w:sz w:val="24"/>
          <w:szCs w:val="24"/>
        </w:rPr>
        <w:t>)</w:t>
      </w:r>
      <w:bookmarkEnd w:id="1"/>
      <w:bookmarkEnd w:id="2"/>
      <w:r w:rsidRPr="00D238EB">
        <w:rPr>
          <w:rFonts w:ascii="Arial" w:hAnsi="Arial" w:cs="Arial"/>
          <w:color w:val="000000"/>
          <w:sz w:val="24"/>
          <w:szCs w:val="24"/>
        </w:rPr>
        <w:t>.</w:t>
      </w:r>
      <w:r>
        <w:rPr>
          <w:rFonts w:ascii="Arial" w:hAnsi="Arial" w:cs="Arial"/>
          <w:sz w:val="24"/>
          <w:szCs w:val="24"/>
        </w:rPr>
        <w:t xml:space="preserve"> </w:t>
      </w:r>
      <w:r w:rsidRPr="00D238EB">
        <w:rPr>
          <w:rFonts w:ascii="Arial" w:hAnsi="Arial" w:cs="Arial"/>
          <w:color w:val="000000"/>
          <w:sz w:val="24"/>
          <w:szCs w:val="24"/>
        </w:rPr>
        <w:t>There would no longer be scope for shifting investment between the P</w:t>
      </w:r>
      <w:r>
        <w:rPr>
          <w:rFonts w:ascii="Arial" w:hAnsi="Arial" w:cs="Arial"/>
          <w:color w:val="000000"/>
          <w:sz w:val="24"/>
          <w:szCs w:val="24"/>
        </w:rPr>
        <w:t xml:space="preserve">ublic </w:t>
      </w:r>
      <w:r w:rsidRPr="00D238EB">
        <w:rPr>
          <w:rFonts w:ascii="Arial" w:hAnsi="Arial" w:cs="Arial"/>
          <w:color w:val="000000"/>
          <w:sz w:val="24"/>
          <w:szCs w:val="24"/>
        </w:rPr>
        <w:t>H</w:t>
      </w:r>
      <w:r>
        <w:rPr>
          <w:rFonts w:ascii="Arial" w:hAnsi="Arial" w:cs="Arial"/>
          <w:color w:val="000000"/>
          <w:sz w:val="24"/>
          <w:szCs w:val="24"/>
        </w:rPr>
        <w:t>ealth</w:t>
      </w:r>
      <w:r w:rsidRPr="00D238EB">
        <w:rPr>
          <w:rFonts w:ascii="Arial" w:hAnsi="Arial" w:cs="Arial"/>
          <w:color w:val="000000"/>
          <w:sz w:val="24"/>
          <w:szCs w:val="24"/>
        </w:rPr>
        <w:t xml:space="preserve"> Domain and the rest of the QOF, without the explicit approval of PHE and the H</w:t>
      </w:r>
      <w:r>
        <w:rPr>
          <w:rFonts w:ascii="Arial" w:hAnsi="Arial" w:cs="Arial"/>
          <w:color w:val="000000"/>
          <w:sz w:val="24"/>
          <w:szCs w:val="24"/>
        </w:rPr>
        <w:t xml:space="preserve">ealth and </w:t>
      </w:r>
      <w:r w:rsidRPr="00D238EB">
        <w:rPr>
          <w:rFonts w:ascii="Arial" w:hAnsi="Arial" w:cs="Arial"/>
          <w:color w:val="000000"/>
          <w:sz w:val="24"/>
          <w:szCs w:val="24"/>
        </w:rPr>
        <w:t>S</w:t>
      </w:r>
      <w:r>
        <w:rPr>
          <w:rFonts w:ascii="Arial" w:hAnsi="Arial" w:cs="Arial"/>
          <w:color w:val="000000"/>
          <w:sz w:val="24"/>
          <w:szCs w:val="24"/>
        </w:rPr>
        <w:t xml:space="preserve">ocial </w:t>
      </w:r>
      <w:r w:rsidRPr="00D238EB">
        <w:rPr>
          <w:rFonts w:ascii="Arial" w:hAnsi="Arial" w:cs="Arial"/>
          <w:color w:val="000000"/>
          <w:sz w:val="24"/>
          <w:szCs w:val="24"/>
        </w:rPr>
        <w:t>C</w:t>
      </w:r>
      <w:r>
        <w:rPr>
          <w:rFonts w:ascii="Arial" w:hAnsi="Arial" w:cs="Arial"/>
          <w:color w:val="000000"/>
          <w:sz w:val="24"/>
          <w:szCs w:val="24"/>
        </w:rPr>
        <w:t xml:space="preserve">are </w:t>
      </w:r>
      <w:r w:rsidRPr="00D238EB">
        <w:rPr>
          <w:rFonts w:ascii="Arial" w:hAnsi="Arial" w:cs="Arial"/>
          <w:color w:val="000000"/>
          <w:sz w:val="24"/>
          <w:szCs w:val="24"/>
        </w:rPr>
        <w:t>B</w:t>
      </w:r>
      <w:r>
        <w:rPr>
          <w:rFonts w:ascii="Arial" w:hAnsi="Arial" w:cs="Arial"/>
          <w:color w:val="000000"/>
          <w:sz w:val="24"/>
          <w:szCs w:val="24"/>
        </w:rPr>
        <w:t>oard.</w:t>
      </w:r>
    </w:p>
    <w:p w:rsidR="00645A76" w:rsidRPr="00D238EB" w:rsidRDefault="00645A76" w:rsidP="00645A76">
      <w:pPr>
        <w:tabs>
          <w:tab w:val="left" w:pos="540"/>
        </w:tabs>
        <w:autoSpaceDE w:val="0"/>
        <w:autoSpaceDN w:val="0"/>
        <w:adjustRightInd w:val="0"/>
        <w:jc w:val="both"/>
        <w:rPr>
          <w:rFonts w:ascii="Arial" w:hAnsi="Arial" w:cs="Arial"/>
          <w:b/>
          <w:color w:val="000000"/>
          <w:sz w:val="24"/>
          <w:szCs w:val="24"/>
        </w:rPr>
      </w:pPr>
    </w:p>
    <w:p w:rsidR="00645A76" w:rsidRDefault="00645A76" w:rsidP="00645A76">
      <w:pPr>
        <w:tabs>
          <w:tab w:val="left" w:pos="540"/>
        </w:tabs>
        <w:autoSpaceDE w:val="0"/>
        <w:autoSpaceDN w:val="0"/>
        <w:adjustRightInd w:val="0"/>
        <w:jc w:val="both"/>
        <w:rPr>
          <w:rFonts w:ascii="Arial" w:hAnsi="Arial" w:cs="Arial"/>
          <w:b/>
          <w:color w:val="000000"/>
          <w:sz w:val="24"/>
          <w:szCs w:val="24"/>
        </w:rPr>
      </w:pPr>
    </w:p>
    <w:p w:rsidR="00645A76" w:rsidRDefault="00645A76" w:rsidP="00645A76">
      <w:pPr>
        <w:tabs>
          <w:tab w:val="left" w:pos="540"/>
        </w:tabs>
        <w:autoSpaceDE w:val="0"/>
        <w:autoSpaceDN w:val="0"/>
        <w:adjustRightInd w:val="0"/>
        <w:jc w:val="both"/>
        <w:rPr>
          <w:rFonts w:ascii="Arial" w:hAnsi="Arial" w:cs="Arial"/>
          <w:b/>
          <w:color w:val="000000"/>
          <w:sz w:val="24"/>
          <w:szCs w:val="24"/>
        </w:rPr>
      </w:pPr>
      <w:r w:rsidRPr="00D238EB">
        <w:rPr>
          <w:rFonts w:ascii="Arial" w:hAnsi="Arial" w:cs="Arial"/>
          <w:b/>
          <w:color w:val="000000"/>
          <w:sz w:val="24"/>
          <w:szCs w:val="24"/>
        </w:rPr>
        <w:t>Quality and Productivity Indicators</w:t>
      </w:r>
    </w:p>
    <w:p w:rsidR="00645A76" w:rsidRPr="00D238EB" w:rsidRDefault="00645A76" w:rsidP="00645A76">
      <w:pPr>
        <w:tabs>
          <w:tab w:val="left" w:pos="540"/>
        </w:tabs>
        <w:autoSpaceDE w:val="0"/>
        <w:autoSpaceDN w:val="0"/>
        <w:adjustRightInd w:val="0"/>
        <w:jc w:val="both"/>
        <w:rPr>
          <w:rFonts w:ascii="Arial" w:hAnsi="Arial" w:cs="Arial"/>
          <w:b/>
          <w:color w:val="000000"/>
          <w:sz w:val="24"/>
          <w:szCs w:val="24"/>
        </w:rPr>
      </w:pPr>
    </w:p>
    <w:p w:rsidR="00645A76" w:rsidRPr="00AA67A6" w:rsidRDefault="00645A76" w:rsidP="00645A76">
      <w:pPr>
        <w:numPr>
          <w:ilvl w:val="0"/>
          <w:numId w:val="8"/>
        </w:numPr>
        <w:tabs>
          <w:tab w:val="left" w:pos="426"/>
        </w:tabs>
        <w:autoSpaceDE w:val="0"/>
        <w:autoSpaceDN w:val="0"/>
        <w:adjustRightInd w:val="0"/>
        <w:ind w:left="426" w:hanging="426"/>
        <w:jc w:val="both"/>
        <w:rPr>
          <w:rFonts w:ascii="Arial" w:hAnsi="Arial" w:cs="Arial"/>
          <w:color w:val="000000"/>
          <w:sz w:val="24"/>
          <w:szCs w:val="24"/>
        </w:rPr>
      </w:pPr>
      <w:r>
        <w:rPr>
          <w:rFonts w:ascii="Arial" w:hAnsi="Arial" w:cs="Arial"/>
          <w:sz w:val="24"/>
          <w:szCs w:val="24"/>
        </w:rPr>
        <w:t xml:space="preserve">It is </w:t>
      </w:r>
      <w:r w:rsidRPr="00D238EB">
        <w:rPr>
          <w:rFonts w:ascii="Arial" w:hAnsi="Arial" w:cs="Arial"/>
          <w:sz w:val="24"/>
          <w:szCs w:val="24"/>
        </w:rPr>
        <w:t>propose</w:t>
      </w:r>
      <w:r>
        <w:rPr>
          <w:rFonts w:ascii="Arial" w:hAnsi="Arial" w:cs="Arial"/>
          <w:sz w:val="24"/>
          <w:szCs w:val="24"/>
        </w:rPr>
        <w:t>d</w:t>
      </w:r>
      <w:r w:rsidRPr="00D238EB">
        <w:rPr>
          <w:rFonts w:ascii="Arial" w:hAnsi="Arial" w:cs="Arial"/>
          <w:sz w:val="24"/>
          <w:szCs w:val="24"/>
        </w:rPr>
        <w:t xml:space="preserve"> to retain for a further year the </w:t>
      </w:r>
      <w:r>
        <w:rPr>
          <w:rFonts w:ascii="Arial" w:hAnsi="Arial" w:cs="Arial"/>
          <w:sz w:val="24"/>
          <w:szCs w:val="24"/>
        </w:rPr>
        <w:t xml:space="preserve">current </w:t>
      </w:r>
      <w:r w:rsidRPr="00D238EB">
        <w:rPr>
          <w:rFonts w:ascii="Arial" w:hAnsi="Arial" w:cs="Arial"/>
          <w:sz w:val="24"/>
          <w:szCs w:val="24"/>
        </w:rPr>
        <w:t xml:space="preserve">Quality and Productivity indicators that reward practices for work to </w:t>
      </w:r>
      <w:r>
        <w:rPr>
          <w:rFonts w:ascii="Arial" w:hAnsi="Arial" w:cs="Arial"/>
          <w:sz w:val="24"/>
          <w:szCs w:val="24"/>
        </w:rPr>
        <w:t>identify</w:t>
      </w:r>
      <w:r w:rsidRPr="00D238EB">
        <w:rPr>
          <w:rFonts w:ascii="Arial" w:hAnsi="Arial" w:cs="Arial"/>
          <w:sz w:val="24"/>
          <w:szCs w:val="24"/>
        </w:rPr>
        <w:t xml:space="preserve"> unnecessary emergency admissions, outpatient referrals </w:t>
      </w:r>
      <w:r>
        <w:rPr>
          <w:rFonts w:ascii="Arial" w:hAnsi="Arial" w:cs="Arial"/>
          <w:sz w:val="24"/>
          <w:szCs w:val="24"/>
        </w:rPr>
        <w:t>or</w:t>
      </w:r>
      <w:r w:rsidRPr="00D238EB">
        <w:rPr>
          <w:rFonts w:ascii="Arial" w:hAnsi="Arial" w:cs="Arial"/>
          <w:sz w:val="24"/>
          <w:szCs w:val="24"/>
        </w:rPr>
        <w:t xml:space="preserve"> A&amp;E attendances </w:t>
      </w:r>
      <w:r>
        <w:rPr>
          <w:rFonts w:ascii="Arial" w:hAnsi="Arial" w:cs="Arial"/>
          <w:sz w:val="24"/>
          <w:szCs w:val="24"/>
        </w:rPr>
        <w:t>and</w:t>
      </w:r>
      <w:r w:rsidRPr="00D238EB">
        <w:rPr>
          <w:rFonts w:ascii="Arial" w:hAnsi="Arial" w:cs="Arial"/>
          <w:sz w:val="24"/>
          <w:szCs w:val="24"/>
        </w:rPr>
        <w:t xml:space="preserve"> improv</w:t>
      </w:r>
      <w:r>
        <w:rPr>
          <w:rFonts w:ascii="Arial" w:hAnsi="Arial" w:cs="Arial"/>
          <w:sz w:val="24"/>
          <w:szCs w:val="24"/>
        </w:rPr>
        <w:t>e</w:t>
      </w:r>
      <w:r w:rsidRPr="00D238EB">
        <w:rPr>
          <w:rFonts w:ascii="Arial" w:hAnsi="Arial" w:cs="Arial"/>
          <w:sz w:val="24"/>
          <w:szCs w:val="24"/>
        </w:rPr>
        <w:t xml:space="preserve"> care for patients. These indicators, worth around 100 points</w:t>
      </w:r>
      <w:r>
        <w:rPr>
          <w:rFonts w:ascii="Arial" w:hAnsi="Arial" w:cs="Arial"/>
          <w:sz w:val="24"/>
          <w:szCs w:val="24"/>
        </w:rPr>
        <w:t xml:space="preserve">, </w:t>
      </w:r>
      <w:r w:rsidRPr="00D238EB">
        <w:rPr>
          <w:rFonts w:ascii="Arial" w:hAnsi="Arial" w:cs="Arial"/>
          <w:sz w:val="24"/>
          <w:szCs w:val="24"/>
        </w:rPr>
        <w:t xml:space="preserve">incentivise practices to work with commissioners to improve management and integration of care for patients across the primary/secondary care interface. </w:t>
      </w:r>
    </w:p>
    <w:p w:rsidR="00645A76" w:rsidRPr="0077631E" w:rsidRDefault="00645A76" w:rsidP="00645A76">
      <w:pPr>
        <w:tabs>
          <w:tab w:val="left" w:pos="426"/>
        </w:tabs>
        <w:autoSpaceDE w:val="0"/>
        <w:autoSpaceDN w:val="0"/>
        <w:adjustRightInd w:val="0"/>
        <w:ind w:left="426"/>
        <w:jc w:val="both"/>
        <w:rPr>
          <w:rFonts w:ascii="Arial" w:hAnsi="Arial" w:cs="Arial"/>
          <w:color w:val="000000"/>
          <w:sz w:val="24"/>
          <w:szCs w:val="24"/>
        </w:rPr>
      </w:pPr>
    </w:p>
    <w:p w:rsidR="00645A76" w:rsidRDefault="00645A76" w:rsidP="00645A76">
      <w:pPr>
        <w:numPr>
          <w:ilvl w:val="0"/>
          <w:numId w:val="8"/>
        </w:numPr>
        <w:tabs>
          <w:tab w:val="left" w:pos="426"/>
        </w:tabs>
        <w:autoSpaceDE w:val="0"/>
        <w:autoSpaceDN w:val="0"/>
        <w:adjustRightInd w:val="0"/>
        <w:ind w:left="426" w:hanging="426"/>
        <w:jc w:val="both"/>
        <w:rPr>
          <w:rFonts w:ascii="Arial" w:hAnsi="Arial" w:cs="Arial"/>
          <w:color w:val="000000"/>
          <w:sz w:val="24"/>
          <w:szCs w:val="24"/>
        </w:rPr>
      </w:pPr>
      <w:r w:rsidRPr="00D238EB">
        <w:rPr>
          <w:rFonts w:ascii="Arial" w:hAnsi="Arial" w:cs="Arial"/>
          <w:sz w:val="24"/>
          <w:szCs w:val="24"/>
        </w:rPr>
        <w:lastRenderedPageBreak/>
        <w:t>In 2013/14, this w</w:t>
      </w:r>
      <w:r>
        <w:rPr>
          <w:rFonts w:ascii="Arial" w:hAnsi="Arial" w:cs="Arial"/>
          <w:sz w:val="24"/>
          <w:szCs w:val="24"/>
        </w:rPr>
        <w:t>ould</w:t>
      </w:r>
      <w:r w:rsidRPr="00D238EB">
        <w:rPr>
          <w:rFonts w:ascii="Arial" w:hAnsi="Arial" w:cs="Arial"/>
          <w:sz w:val="24"/>
          <w:szCs w:val="24"/>
        </w:rPr>
        <w:t xml:space="preserve"> mean practices working </w:t>
      </w:r>
      <w:r>
        <w:rPr>
          <w:rFonts w:ascii="Arial" w:hAnsi="Arial" w:cs="Arial"/>
          <w:sz w:val="24"/>
          <w:szCs w:val="24"/>
        </w:rPr>
        <w:t>with l</w:t>
      </w:r>
      <w:r w:rsidRPr="00D238EB">
        <w:rPr>
          <w:rFonts w:ascii="Arial" w:hAnsi="Arial" w:cs="Arial"/>
          <w:sz w:val="24"/>
          <w:szCs w:val="24"/>
        </w:rPr>
        <w:t xml:space="preserve">ocal commissioning groups </w:t>
      </w:r>
      <w:r>
        <w:rPr>
          <w:rFonts w:ascii="Arial" w:hAnsi="Arial" w:cs="Arial"/>
          <w:sz w:val="24"/>
          <w:szCs w:val="24"/>
        </w:rPr>
        <w:t>to enhance</w:t>
      </w:r>
      <w:r w:rsidRPr="00D238EB">
        <w:rPr>
          <w:rFonts w:ascii="Arial" w:hAnsi="Arial" w:cs="Arial"/>
          <w:sz w:val="24"/>
          <w:szCs w:val="24"/>
        </w:rPr>
        <w:t xml:space="preserve"> the management of patients in primary care </w:t>
      </w:r>
      <w:r>
        <w:rPr>
          <w:rFonts w:ascii="Arial" w:hAnsi="Arial" w:cs="Arial"/>
          <w:sz w:val="24"/>
          <w:szCs w:val="24"/>
        </w:rPr>
        <w:t xml:space="preserve">and thus reduce the </w:t>
      </w:r>
      <w:r w:rsidRPr="00D238EB">
        <w:rPr>
          <w:rFonts w:ascii="Arial" w:hAnsi="Arial" w:cs="Arial"/>
          <w:sz w:val="24"/>
          <w:szCs w:val="24"/>
        </w:rPr>
        <w:t>use of secondary care</w:t>
      </w:r>
      <w:r>
        <w:rPr>
          <w:rFonts w:ascii="Arial" w:hAnsi="Arial" w:cs="Arial"/>
          <w:sz w:val="24"/>
          <w:szCs w:val="24"/>
        </w:rPr>
        <w:t xml:space="preserve"> facilities</w:t>
      </w:r>
      <w:r w:rsidRPr="00D238EB">
        <w:rPr>
          <w:rFonts w:ascii="Arial" w:hAnsi="Arial" w:cs="Arial"/>
          <w:sz w:val="24"/>
          <w:szCs w:val="24"/>
        </w:rPr>
        <w:t xml:space="preserve">. </w:t>
      </w:r>
    </w:p>
    <w:p w:rsidR="00645A76" w:rsidRDefault="00645A76" w:rsidP="00645A76">
      <w:pPr>
        <w:pStyle w:val="ListParagraph"/>
        <w:jc w:val="both"/>
        <w:rPr>
          <w:rFonts w:ascii="Arial" w:hAnsi="Arial" w:cs="Arial"/>
          <w:sz w:val="24"/>
          <w:szCs w:val="24"/>
        </w:rPr>
      </w:pPr>
    </w:p>
    <w:p w:rsidR="00645A76" w:rsidRDefault="00645A76" w:rsidP="00645A76">
      <w:pPr>
        <w:numPr>
          <w:ilvl w:val="0"/>
          <w:numId w:val="8"/>
        </w:numPr>
        <w:tabs>
          <w:tab w:val="left" w:pos="426"/>
        </w:tabs>
        <w:autoSpaceDE w:val="0"/>
        <w:autoSpaceDN w:val="0"/>
        <w:adjustRightInd w:val="0"/>
        <w:ind w:left="426" w:hanging="426"/>
        <w:jc w:val="both"/>
        <w:rPr>
          <w:rFonts w:ascii="Arial" w:hAnsi="Arial" w:cs="Arial"/>
          <w:color w:val="000000"/>
          <w:sz w:val="24"/>
          <w:szCs w:val="24"/>
        </w:rPr>
      </w:pPr>
      <w:r w:rsidRPr="008457BA">
        <w:rPr>
          <w:rFonts w:ascii="Arial" w:hAnsi="Arial" w:cs="Arial"/>
          <w:sz w:val="24"/>
          <w:szCs w:val="24"/>
        </w:rPr>
        <w:t>It is proposed that the wording for the QP indicators w</w:t>
      </w:r>
      <w:r>
        <w:rPr>
          <w:rFonts w:ascii="Arial" w:hAnsi="Arial" w:cs="Arial"/>
          <w:sz w:val="24"/>
          <w:szCs w:val="24"/>
        </w:rPr>
        <w:t>ould</w:t>
      </w:r>
      <w:r w:rsidRPr="008457BA">
        <w:rPr>
          <w:rFonts w:ascii="Arial" w:hAnsi="Arial" w:cs="Arial"/>
          <w:sz w:val="24"/>
          <w:szCs w:val="24"/>
        </w:rPr>
        <w:t xml:space="preserve"> be amended to include target dates in line with other QP indicators; firstly to </w:t>
      </w:r>
      <w:r>
        <w:rPr>
          <w:rFonts w:ascii="Arial" w:hAnsi="Arial" w:cs="Arial"/>
          <w:sz w:val="24"/>
          <w:szCs w:val="24"/>
        </w:rPr>
        <w:t>evidence</w:t>
      </w:r>
      <w:r w:rsidRPr="008457BA">
        <w:rPr>
          <w:rFonts w:ascii="Arial" w:hAnsi="Arial" w:cs="Arial"/>
          <w:sz w:val="24"/>
          <w:szCs w:val="24"/>
        </w:rPr>
        <w:t xml:space="preserve"> that each practice </w:t>
      </w:r>
      <w:r>
        <w:rPr>
          <w:rFonts w:ascii="Arial" w:hAnsi="Arial" w:cs="Arial"/>
          <w:sz w:val="24"/>
          <w:szCs w:val="24"/>
        </w:rPr>
        <w:t>has</w:t>
      </w:r>
      <w:r w:rsidRPr="008457BA">
        <w:rPr>
          <w:rFonts w:ascii="Arial" w:hAnsi="Arial" w:cs="Arial"/>
          <w:sz w:val="24"/>
          <w:szCs w:val="24"/>
        </w:rPr>
        <w:t xml:space="preserve"> contribute</w:t>
      </w:r>
      <w:r>
        <w:rPr>
          <w:rFonts w:ascii="Arial" w:hAnsi="Arial" w:cs="Arial"/>
          <w:sz w:val="24"/>
          <w:szCs w:val="24"/>
        </w:rPr>
        <w:t>d</w:t>
      </w:r>
      <w:r w:rsidRPr="008457BA">
        <w:rPr>
          <w:rFonts w:ascii="Arial" w:hAnsi="Arial" w:cs="Arial"/>
          <w:sz w:val="24"/>
          <w:szCs w:val="24"/>
        </w:rPr>
        <w:t xml:space="preserve"> fully to external meetings and secondly that pathways are proposed in time for implementation. The amendments would mean the inclusion of 31</w:t>
      </w:r>
      <w:r w:rsidRPr="008457BA">
        <w:rPr>
          <w:rFonts w:ascii="Arial" w:hAnsi="Arial" w:cs="Arial"/>
          <w:sz w:val="24"/>
          <w:szCs w:val="24"/>
          <w:vertAlign w:val="superscript"/>
        </w:rPr>
        <w:t>st</w:t>
      </w:r>
      <w:r w:rsidRPr="008457BA">
        <w:rPr>
          <w:rFonts w:ascii="Arial" w:hAnsi="Arial" w:cs="Arial"/>
          <w:sz w:val="24"/>
          <w:szCs w:val="24"/>
        </w:rPr>
        <w:t xml:space="preserve"> July for QP 6 and QP 9 in line with QP 12</w:t>
      </w:r>
      <w:r>
        <w:rPr>
          <w:rFonts w:ascii="Arial" w:hAnsi="Arial" w:cs="Arial"/>
          <w:sz w:val="24"/>
          <w:szCs w:val="24"/>
        </w:rPr>
        <w:t>;</w:t>
      </w:r>
      <w:r w:rsidRPr="008457BA">
        <w:rPr>
          <w:rFonts w:ascii="Arial" w:hAnsi="Arial" w:cs="Arial"/>
          <w:sz w:val="24"/>
          <w:szCs w:val="24"/>
        </w:rPr>
        <w:t xml:space="preserve"> and 30</w:t>
      </w:r>
      <w:r w:rsidRPr="008457BA">
        <w:rPr>
          <w:rFonts w:ascii="Arial" w:hAnsi="Arial" w:cs="Arial"/>
          <w:sz w:val="24"/>
          <w:szCs w:val="24"/>
          <w:vertAlign w:val="superscript"/>
        </w:rPr>
        <w:t>th</w:t>
      </w:r>
      <w:r w:rsidRPr="008457BA">
        <w:rPr>
          <w:rFonts w:ascii="Arial" w:hAnsi="Arial" w:cs="Arial"/>
          <w:sz w:val="24"/>
          <w:szCs w:val="24"/>
        </w:rPr>
        <w:t xml:space="preserve"> September for QP 7 and QP 10 in line with QP13</w:t>
      </w:r>
      <w:r>
        <w:rPr>
          <w:rFonts w:ascii="Arial" w:hAnsi="Arial" w:cs="Arial"/>
          <w:sz w:val="24"/>
          <w:szCs w:val="24"/>
        </w:rPr>
        <w:t>.</w:t>
      </w:r>
    </w:p>
    <w:p w:rsidR="00645A76" w:rsidRDefault="00645A76" w:rsidP="00645A76">
      <w:pPr>
        <w:pStyle w:val="ListParagraph"/>
        <w:jc w:val="both"/>
        <w:rPr>
          <w:rFonts w:ascii="Arial" w:hAnsi="Arial" w:cs="Arial"/>
          <w:sz w:val="24"/>
          <w:szCs w:val="24"/>
        </w:rPr>
      </w:pPr>
    </w:p>
    <w:p w:rsidR="00645A76" w:rsidRPr="008457BA" w:rsidRDefault="00645A76" w:rsidP="00645A76">
      <w:pPr>
        <w:numPr>
          <w:ilvl w:val="0"/>
          <w:numId w:val="8"/>
        </w:numPr>
        <w:tabs>
          <w:tab w:val="left" w:pos="426"/>
        </w:tabs>
        <w:autoSpaceDE w:val="0"/>
        <w:autoSpaceDN w:val="0"/>
        <w:adjustRightInd w:val="0"/>
        <w:ind w:left="426" w:hanging="426"/>
        <w:jc w:val="both"/>
        <w:rPr>
          <w:rFonts w:ascii="Arial" w:hAnsi="Arial" w:cs="Arial"/>
          <w:color w:val="000000"/>
          <w:sz w:val="24"/>
          <w:szCs w:val="24"/>
        </w:rPr>
      </w:pPr>
      <w:r w:rsidRPr="008457BA">
        <w:rPr>
          <w:rFonts w:ascii="Arial" w:hAnsi="Arial" w:cs="Arial"/>
          <w:sz w:val="24"/>
          <w:szCs w:val="24"/>
        </w:rPr>
        <w:t xml:space="preserve">It is also proposed to make clear that these indicators are time limited for a further year in 2013/14. </w:t>
      </w:r>
    </w:p>
    <w:p w:rsidR="00645A76" w:rsidRDefault="00645A76" w:rsidP="00645A76">
      <w:pPr>
        <w:pStyle w:val="ListParagraph"/>
        <w:jc w:val="both"/>
        <w:rPr>
          <w:bCs/>
          <w:szCs w:val="24"/>
        </w:rPr>
      </w:pPr>
    </w:p>
    <w:p w:rsidR="00645A76" w:rsidRDefault="00645A76" w:rsidP="00645A76">
      <w:pPr>
        <w:tabs>
          <w:tab w:val="left" w:pos="540"/>
        </w:tabs>
        <w:autoSpaceDE w:val="0"/>
        <w:autoSpaceDN w:val="0"/>
        <w:adjustRightInd w:val="0"/>
        <w:jc w:val="both"/>
        <w:rPr>
          <w:rFonts w:ascii="Arial" w:hAnsi="Arial" w:cs="Arial"/>
          <w:b/>
          <w:sz w:val="24"/>
          <w:szCs w:val="24"/>
        </w:rPr>
      </w:pPr>
      <w:r w:rsidRPr="00D238EB">
        <w:rPr>
          <w:rFonts w:ascii="Arial" w:hAnsi="Arial" w:cs="Arial"/>
          <w:b/>
          <w:sz w:val="24"/>
          <w:szCs w:val="24"/>
        </w:rPr>
        <w:t>Organisational Domain</w:t>
      </w:r>
    </w:p>
    <w:p w:rsidR="00645A76" w:rsidRDefault="00645A76" w:rsidP="00645A76">
      <w:pPr>
        <w:numPr>
          <w:ilvl w:val="0"/>
          <w:numId w:val="8"/>
        </w:numPr>
        <w:tabs>
          <w:tab w:val="left" w:pos="426"/>
        </w:tabs>
        <w:autoSpaceDE w:val="0"/>
        <w:autoSpaceDN w:val="0"/>
        <w:adjustRightInd w:val="0"/>
        <w:ind w:left="426" w:hanging="426"/>
        <w:jc w:val="both"/>
        <w:rPr>
          <w:rFonts w:ascii="Arial" w:hAnsi="Arial" w:cs="Arial"/>
          <w:sz w:val="24"/>
          <w:szCs w:val="24"/>
        </w:rPr>
      </w:pPr>
      <w:r w:rsidRPr="00005D7C">
        <w:rPr>
          <w:rFonts w:ascii="Arial" w:hAnsi="Arial" w:cs="Arial"/>
          <w:sz w:val="24"/>
          <w:szCs w:val="24"/>
        </w:rPr>
        <w:t>Under these proposals, three indicators in the Organisational Domain would move to the Public Health Domain. The Quality and Productivity indicators w</w:t>
      </w:r>
      <w:r>
        <w:rPr>
          <w:rFonts w:ascii="Arial" w:hAnsi="Arial" w:cs="Arial"/>
          <w:sz w:val="24"/>
          <w:szCs w:val="24"/>
        </w:rPr>
        <w:t>ould</w:t>
      </w:r>
      <w:r w:rsidRPr="00005D7C">
        <w:rPr>
          <w:rFonts w:ascii="Arial" w:hAnsi="Arial" w:cs="Arial"/>
          <w:sz w:val="24"/>
          <w:szCs w:val="24"/>
        </w:rPr>
        <w:t xml:space="preserve"> be retained for a further year in a Quality and Productivity Domain. We propose to remove the remaining Organisational indicators, which represent basic organisational standards</w:t>
      </w:r>
      <w:r>
        <w:rPr>
          <w:rFonts w:ascii="Arial" w:hAnsi="Arial" w:cs="Arial"/>
          <w:sz w:val="24"/>
          <w:szCs w:val="24"/>
        </w:rPr>
        <w:t>, whilst retaining 23 points attached to specific indicators for Medicines Management (NM6, NM10 and NM11)</w:t>
      </w:r>
      <w:r w:rsidRPr="00005D7C">
        <w:rPr>
          <w:rFonts w:ascii="Arial" w:hAnsi="Arial" w:cs="Arial"/>
          <w:sz w:val="24"/>
          <w:szCs w:val="24"/>
        </w:rPr>
        <w:t>. The funding released will be used partly to fund the NICE recommendati</w:t>
      </w:r>
      <w:r>
        <w:rPr>
          <w:rFonts w:ascii="Arial" w:hAnsi="Arial" w:cs="Arial"/>
          <w:sz w:val="24"/>
          <w:szCs w:val="24"/>
        </w:rPr>
        <w:t>ons and the remaining points, (83)</w:t>
      </w:r>
      <w:r w:rsidRPr="00005D7C">
        <w:rPr>
          <w:rFonts w:ascii="Arial" w:hAnsi="Arial" w:cs="Arial"/>
          <w:sz w:val="24"/>
          <w:szCs w:val="24"/>
        </w:rPr>
        <w:t>, w</w:t>
      </w:r>
      <w:r>
        <w:rPr>
          <w:rFonts w:ascii="Arial" w:hAnsi="Arial" w:cs="Arial"/>
          <w:sz w:val="24"/>
          <w:szCs w:val="24"/>
        </w:rPr>
        <w:t>ould</w:t>
      </w:r>
      <w:r w:rsidRPr="00005D7C">
        <w:rPr>
          <w:rFonts w:ascii="Arial" w:hAnsi="Arial" w:cs="Arial"/>
          <w:sz w:val="24"/>
          <w:szCs w:val="24"/>
        </w:rPr>
        <w:t xml:space="preserve"> transfer to the core of the contract. </w:t>
      </w:r>
    </w:p>
    <w:p w:rsidR="00645A76" w:rsidRDefault="00645A76" w:rsidP="00645A76">
      <w:pPr>
        <w:tabs>
          <w:tab w:val="left" w:pos="426"/>
        </w:tabs>
        <w:autoSpaceDE w:val="0"/>
        <w:autoSpaceDN w:val="0"/>
        <w:adjustRightInd w:val="0"/>
        <w:ind w:left="426"/>
        <w:jc w:val="both"/>
        <w:rPr>
          <w:rFonts w:ascii="Arial" w:hAnsi="Arial" w:cs="Arial"/>
          <w:sz w:val="24"/>
          <w:szCs w:val="24"/>
        </w:rPr>
      </w:pPr>
    </w:p>
    <w:p w:rsidR="00645A76" w:rsidRPr="00005D7C" w:rsidRDefault="00645A76" w:rsidP="00645A76">
      <w:pPr>
        <w:numPr>
          <w:ilvl w:val="0"/>
          <w:numId w:val="8"/>
        </w:numPr>
        <w:tabs>
          <w:tab w:val="left" w:pos="426"/>
        </w:tabs>
        <w:autoSpaceDE w:val="0"/>
        <w:autoSpaceDN w:val="0"/>
        <w:adjustRightInd w:val="0"/>
        <w:ind w:left="426" w:hanging="426"/>
        <w:jc w:val="both"/>
        <w:rPr>
          <w:rFonts w:ascii="Arial" w:hAnsi="Arial" w:cs="Arial"/>
          <w:sz w:val="24"/>
          <w:szCs w:val="24"/>
        </w:rPr>
      </w:pPr>
      <w:r w:rsidRPr="00005D7C">
        <w:rPr>
          <w:rFonts w:ascii="Arial" w:hAnsi="Arial" w:cs="Arial"/>
          <w:sz w:val="24"/>
          <w:szCs w:val="24"/>
        </w:rPr>
        <w:t>This would be firmly embedded in core funding and thereby provide additional stability of income for practices.  The requirements themselves w</w:t>
      </w:r>
      <w:r>
        <w:rPr>
          <w:rFonts w:ascii="Arial" w:hAnsi="Arial" w:cs="Arial"/>
          <w:sz w:val="24"/>
          <w:szCs w:val="24"/>
        </w:rPr>
        <w:t>ould</w:t>
      </w:r>
      <w:r w:rsidRPr="00005D7C">
        <w:rPr>
          <w:rFonts w:ascii="Arial" w:hAnsi="Arial" w:cs="Arial"/>
          <w:sz w:val="24"/>
          <w:szCs w:val="24"/>
        </w:rPr>
        <w:t xml:space="preserve"> no longer be optional; instead there w</w:t>
      </w:r>
      <w:r>
        <w:rPr>
          <w:rFonts w:ascii="Arial" w:hAnsi="Arial" w:cs="Arial"/>
          <w:sz w:val="24"/>
          <w:szCs w:val="24"/>
        </w:rPr>
        <w:t>ould</w:t>
      </w:r>
      <w:r w:rsidRPr="00005D7C">
        <w:rPr>
          <w:rFonts w:ascii="Arial" w:hAnsi="Arial" w:cs="Arial"/>
          <w:sz w:val="24"/>
          <w:szCs w:val="24"/>
        </w:rPr>
        <w:t xml:space="preserve"> be an expectation that they will apply to the whole of general practice.  </w:t>
      </w:r>
      <w:r w:rsidRPr="00F71E3E">
        <w:rPr>
          <w:rFonts w:ascii="Arial" w:hAnsi="Arial" w:cs="Arial"/>
          <w:sz w:val="24"/>
          <w:szCs w:val="24"/>
        </w:rPr>
        <w:t>The organisational indicators represent basic standards and there w</w:t>
      </w:r>
      <w:r>
        <w:rPr>
          <w:rFonts w:ascii="Arial" w:hAnsi="Arial" w:cs="Arial"/>
          <w:sz w:val="24"/>
          <w:szCs w:val="24"/>
        </w:rPr>
        <w:t>ould</w:t>
      </w:r>
      <w:r w:rsidRPr="00F71E3E">
        <w:rPr>
          <w:rFonts w:ascii="Arial" w:hAnsi="Arial" w:cs="Arial"/>
          <w:sz w:val="24"/>
          <w:szCs w:val="24"/>
        </w:rPr>
        <w:t xml:space="preserve"> be a </w:t>
      </w:r>
      <w:r>
        <w:rPr>
          <w:rFonts w:ascii="Arial" w:hAnsi="Arial" w:cs="Arial"/>
          <w:sz w:val="24"/>
          <w:szCs w:val="24"/>
        </w:rPr>
        <w:t xml:space="preserve">specific </w:t>
      </w:r>
      <w:r w:rsidRPr="00F71E3E">
        <w:rPr>
          <w:rFonts w:ascii="Arial" w:hAnsi="Arial" w:cs="Arial"/>
          <w:sz w:val="24"/>
          <w:szCs w:val="24"/>
        </w:rPr>
        <w:t>requirement within the Contract</w:t>
      </w:r>
      <w:r>
        <w:rPr>
          <w:rFonts w:ascii="Arial" w:hAnsi="Arial" w:cs="Arial"/>
          <w:sz w:val="24"/>
          <w:szCs w:val="24"/>
        </w:rPr>
        <w:t xml:space="preserve"> for practices</w:t>
      </w:r>
      <w:r w:rsidRPr="00F71E3E">
        <w:rPr>
          <w:rFonts w:ascii="Arial" w:hAnsi="Arial" w:cs="Arial"/>
          <w:sz w:val="24"/>
          <w:szCs w:val="24"/>
        </w:rPr>
        <w:t xml:space="preserve"> to meet </w:t>
      </w:r>
      <w:r>
        <w:rPr>
          <w:rFonts w:ascii="Arial" w:hAnsi="Arial" w:cs="Arial"/>
          <w:sz w:val="24"/>
          <w:szCs w:val="24"/>
        </w:rPr>
        <w:t>c</w:t>
      </w:r>
      <w:r w:rsidRPr="00F71E3E">
        <w:rPr>
          <w:rFonts w:ascii="Arial" w:hAnsi="Arial" w:cs="Arial"/>
          <w:sz w:val="24"/>
          <w:szCs w:val="24"/>
        </w:rPr>
        <w:t xml:space="preserve">linical Governance standards agreed by the </w:t>
      </w:r>
      <w:r>
        <w:rPr>
          <w:rFonts w:ascii="Arial" w:hAnsi="Arial" w:cs="Arial"/>
          <w:sz w:val="24"/>
          <w:szCs w:val="24"/>
        </w:rPr>
        <w:t>HSC Board</w:t>
      </w:r>
      <w:r w:rsidRPr="00F71E3E">
        <w:rPr>
          <w:rFonts w:ascii="Arial" w:hAnsi="Arial" w:cs="Arial"/>
          <w:sz w:val="24"/>
          <w:szCs w:val="24"/>
        </w:rPr>
        <w:t>.</w:t>
      </w:r>
    </w:p>
    <w:p w:rsidR="00645A76" w:rsidRPr="00005D7C" w:rsidRDefault="00645A76" w:rsidP="00645A76">
      <w:pPr>
        <w:tabs>
          <w:tab w:val="left" w:pos="426"/>
        </w:tabs>
        <w:autoSpaceDE w:val="0"/>
        <w:autoSpaceDN w:val="0"/>
        <w:adjustRightInd w:val="0"/>
        <w:ind w:left="426"/>
        <w:jc w:val="both"/>
        <w:rPr>
          <w:rFonts w:ascii="Arial" w:hAnsi="Arial" w:cs="Arial"/>
          <w:sz w:val="24"/>
          <w:szCs w:val="24"/>
        </w:rPr>
      </w:pPr>
    </w:p>
    <w:p w:rsidR="00645A76" w:rsidRPr="00D238EB" w:rsidRDefault="00645A76" w:rsidP="00645A76">
      <w:pPr>
        <w:numPr>
          <w:ilvl w:val="0"/>
          <w:numId w:val="8"/>
        </w:numPr>
        <w:tabs>
          <w:tab w:val="num" w:pos="426"/>
        </w:tabs>
        <w:ind w:left="426" w:hanging="426"/>
        <w:jc w:val="both"/>
        <w:rPr>
          <w:rFonts w:ascii="Arial" w:hAnsi="Arial" w:cs="Arial"/>
          <w:sz w:val="24"/>
          <w:szCs w:val="24"/>
        </w:rPr>
      </w:pPr>
      <w:r>
        <w:rPr>
          <w:rFonts w:ascii="Arial" w:hAnsi="Arial" w:cs="Arial"/>
          <w:sz w:val="24"/>
          <w:szCs w:val="24"/>
        </w:rPr>
        <w:t>The current Patient Experience Domain is proposed to remain.</w:t>
      </w:r>
    </w:p>
    <w:p w:rsidR="00645A76" w:rsidRPr="00D238EB" w:rsidRDefault="00645A76" w:rsidP="00645A76">
      <w:pPr>
        <w:rPr>
          <w:rFonts w:ascii="Arial" w:hAnsi="Arial" w:cs="Arial"/>
          <w:sz w:val="24"/>
          <w:szCs w:val="24"/>
        </w:rPr>
      </w:pPr>
    </w:p>
    <w:p w:rsidR="00645A76" w:rsidRDefault="00645A76" w:rsidP="00645A76">
      <w:pPr>
        <w:tabs>
          <w:tab w:val="left" w:pos="540"/>
        </w:tabs>
        <w:autoSpaceDE w:val="0"/>
        <w:autoSpaceDN w:val="0"/>
        <w:adjustRightInd w:val="0"/>
        <w:rPr>
          <w:rFonts w:ascii="Arial" w:hAnsi="Arial" w:cs="Arial"/>
          <w:b/>
          <w:color w:val="000000"/>
          <w:sz w:val="24"/>
          <w:szCs w:val="24"/>
        </w:rPr>
      </w:pPr>
      <w:r w:rsidRPr="00D238EB">
        <w:rPr>
          <w:rFonts w:ascii="Arial" w:hAnsi="Arial" w:cs="Arial"/>
          <w:b/>
          <w:color w:val="000000"/>
          <w:sz w:val="24"/>
          <w:szCs w:val="24"/>
        </w:rPr>
        <w:t xml:space="preserve">Raising thresholds </w:t>
      </w:r>
    </w:p>
    <w:p w:rsidR="00645A76" w:rsidRDefault="00645A76" w:rsidP="00645A76">
      <w:pPr>
        <w:numPr>
          <w:ilvl w:val="0"/>
          <w:numId w:val="8"/>
        </w:numPr>
        <w:tabs>
          <w:tab w:val="num" w:pos="426"/>
        </w:tabs>
        <w:ind w:left="426" w:hanging="426"/>
        <w:jc w:val="both"/>
        <w:rPr>
          <w:rFonts w:ascii="Arial" w:hAnsi="Arial" w:cs="Arial"/>
          <w:sz w:val="24"/>
          <w:szCs w:val="24"/>
        </w:rPr>
      </w:pPr>
      <w:r w:rsidRPr="00D238EB">
        <w:rPr>
          <w:rFonts w:ascii="Arial" w:hAnsi="Arial" w:cs="Arial"/>
          <w:sz w:val="24"/>
          <w:szCs w:val="24"/>
        </w:rPr>
        <w:t>Most QOF indicators reward practices according to the percentage of eligible patients who benefit from the indicator. These “fraction” indicators have upper and lower payment thresholds based on percentages of patients. Practices do not earn points until they exceed the lower threshold. They then earn a steadily increasing percentage of the points available up to the upper threshold at</w:t>
      </w:r>
      <w:r>
        <w:rPr>
          <w:rFonts w:ascii="Arial" w:hAnsi="Arial" w:cs="Arial"/>
          <w:sz w:val="24"/>
          <w:szCs w:val="24"/>
        </w:rPr>
        <w:t>,</w:t>
      </w:r>
      <w:r w:rsidRPr="00D238EB">
        <w:rPr>
          <w:rFonts w:ascii="Arial" w:hAnsi="Arial" w:cs="Arial"/>
          <w:sz w:val="24"/>
          <w:szCs w:val="24"/>
        </w:rPr>
        <w:t xml:space="preserve"> or above which</w:t>
      </w:r>
      <w:r>
        <w:rPr>
          <w:rFonts w:ascii="Arial" w:hAnsi="Arial" w:cs="Arial"/>
          <w:sz w:val="24"/>
          <w:szCs w:val="24"/>
        </w:rPr>
        <w:t>,</w:t>
      </w:r>
      <w:r w:rsidRPr="00D238EB">
        <w:rPr>
          <w:rFonts w:ascii="Arial" w:hAnsi="Arial" w:cs="Arial"/>
          <w:sz w:val="24"/>
          <w:szCs w:val="24"/>
        </w:rPr>
        <w:t xml:space="preserve"> they earn 100% of the points available. </w:t>
      </w:r>
    </w:p>
    <w:p w:rsidR="00645A76" w:rsidRDefault="00645A76" w:rsidP="00645A76">
      <w:pPr>
        <w:jc w:val="both"/>
        <w:rPr>
          <w:rFonts w:ascii="Arial" w:hAnsi="Arial" w:cs="Arial"/>
          <w:sz w:val="24"/>
          <w:szCs w:val="24"/>
        </w:rPr>
      </w:pPr>
    </w:p>
    <w:p w:rsidR="00645A76" w:rsidRDefault="00645A76" w:rsidP="00645A76">
      <w:pPr>
        <w:numPr>
          <w:ilvl w:val="0"/>
          <w:numId w:val="8"/>
        </w:numPr>
        <w:tabs>
          <w:tab w:val="num" w:pos="426"/>
        </w:tabs>
        <w:ind w:left="426" w:hanging="426"/>
        <w:jc w:val="both"/>
        <w:rPr>
          <w:rFonts w:ascii="Arial" w:hAnsi="Arial" w:cs="Arial"/>
          <w:sz w:val="24"/>
          <w:szCs w:val="24"/>
        </w:rPr>
      </w:pPr>
      <w:r w:rsidRPr="002E2E23">
        <w:rPr>
          <w:rFonts w:ascii="Arial" w:hAnsi="Arial" w:cs="Arial"/>
          <w:sz w:val="24"/>
          <w:szCs w:val="24"/>
        </w:rPr>
        <w:t>Most thresholds are set at 40-90%</w:t>
      </w:r>
      <w:r>
        <w:rPr>
          <w:rFonts w:ascii="Arial" w:hAnsi="Arial" w:cs="Arial"/>
          <w:sz w:val="24"/>
          <w:szCs w:val="24"/>
        </w:rPr>
        <w:t xml:space="preserve">.  </w:t>
      </w:r>
      <w:r w:rsidRPr="002E2E23">
        <w:rPr>
          <w:rFonts w:ascii="Arial" w:hAnsi="Arial" w:cs="Arial"/>
          <w:sz w:val="24"/>
          <w:szCs w:val="24"/>
        </w:rPr>
        <w:t>Upper thresholds were intended to reflect higher levels of achievement.</w:t>
      </w:r>
    </w:p>
    <w:p w:rsidR="00645A76" w:rsidRDefault="00645A76" w:rsidP="00645A76">
      <w:pPr>
        <w:jc w:val="both"/>
        <w:rPr>
          <w:rFonts w:ascii="Arial" w:hAnsi="Arial" w:cs="Arial"/>
          <w:sz w:val="24"/>
          <w:szCs w:val="24"/>
        </w:rPr>
      </w:pPr>
      <w:r w:rsidRPr="002E2E23">
        <w:rPr>
          <w:rFonts w:ascii="Arial" w:hAnsi="Arial" w:cs="Arial"/>
          <w:sz w:val="24"/>
          <w:szCs w:val="24"/>
        </w:rPr>
        <w:t xml:space="preserve"> </w:t>
      </w:r>
    </w:p>
    <w:p w:rsidR="00645A76" w:rsidRPr="007E48A0" w:rsidRDefault="00645A76" w:rsidP="00645A76">
      <w:pPr>
        <w:numPr>
          <w:ilvl w:val="0"/>
          <w:numId w:val="8"/>
        </w:numPr>
        <w:tabs>
          <w:tab w:val="num" w:pos="426"/>
        </w:tabs>
        <w:ind w:left="426" w:hanging="426"/>
        <w:jc w:val="both"/>
        <w:rPr>
          <w:rFonts w:ascii="Arial" w:hAnsi="Arial" w:cs="Arial"/>
          <w:color w:val="000000"/>
          <w:sz w:val="24"/>
          <w:szCs w:val="24"/>
        </w:rPr>
      </w:pPr>
      <w:r w:rsidRPr="00D238EB">
        <w:rPr>
          <w:rFonts w:ascii="Arial" w:hAnsi="Arial" w:cs="Arial"/>
          <w:color w:val="000000"/>
          <w:sz w:val="24"/>
          <w:szCs w:val="24"/>
        </w:rPr>
        <w:t>In 2013/14 we propose to raise the</w:t>
      </w:r>
      <w:r>
        <w:rPr>
          <w:rFonts w:ascii="Arial" w:hAnsi="Arial" w:cs="Arial"/>
          <w:color w:val="000000"/>
          <w:sz w:val="24"/>
          <w:szCs w:val="24"/>
        </w:rPr>
        <w:t xml:space="preserve"> upper and lower payment thresholds for 23</w:t>
      </w:r>
      <w:r w:rsidRPr="00D238EB">
        <w:rPr>
          <w:rFonts w:ascii="Arial" w:hAnsi="Arial" w:cs="Arial"/>
          <w:color w:val="000000"/>
          <w:sz w:val="24"/>
          <w:szCs w:val="24"/>
        </w:rPr>
        <w:t xml:space="preserve"> indicators</w:t>
      </w:r>
      <w:r>
        <w:rPr>
          <w:rFonts w:ascii="Arial" w:hAnsi="Arial" w:cs="Arial"/>
          <w:color w:val="000000"/>
          <w:sz w:val="24"/>
          <w:szCs w:val="24"/>
        </w:rPr>
        <w:t xml:space="preserve">. </w:t>
      </w:r>
      <w:r w:rsidRPr="00D238EB">
        <w:rPr>
          <w:rFonts w:ascii="Arial" w:hAnsi="Arial" w:cs="Arial"/>
          <w:color w:val="000000"/>
          <w:sz w:val="24"/>
          <w:szCs w:val="24"/>
        </w:rPr>
        <w:t xml:space="preserve"> </w:t>
      </w:r>
      <w:r>
        <w:rPr>
          <w:rFonts w:ascii="Arial" w:hAnsi="Arial" w:cs="Arial"/>
          <w:color w:val="000000"/>
          <w:sz w:val="24"/>
          <w:szCs w:val="24"/>
        </w:rPr>
        <w:t>For 22 indicators the upper threshold would rise by 5% and the lower threshold by 20%, whilst for DM26 the upper threshold would rise by 5% and the lower threshold will rise by 10%.</w:t>
      </w:r>
      <w:r w:rsidRPr="00D238EB">
        <w:rPr>
          <w:rFonts w:ascii="Arial" w:hAnsi="Arial" w:cs="Arial"/>
          <w:color w:val="000000"/>
          <w:sz w:val="24"/>
          <w:szCs w:val="24"/>
        </w:rPr>
        <w:t xml:space="preserve"> </w:t>
      </w:r>
      <w:r w:rsidRPr="00644608">
        <w:rPr>
          <w:rFonts w:ascii="Arial" w:hAnsi="Arial" w:cs="Arial"/>
          <w:b/>
          <w:bCs/>
          <w:color w:val="000000"/>
          <w:sz w:val="24"/>
          <w:szCs w:val="24"/>
        </w:rPr>
        <w:t>Appendix 3</w:t>
      </w:r>
      <w:r>
        <w:rPr>
          <w:rFonts w:ascii="Arial" w:hAnsi="Arial" w:cs="Arial"/>
          <w:color w:val="000000"/>
          <w:sz w:val="24"/>
          <w:szCs w:val="24"/>
        </w:rPr>
        <w:t xml:space="preserve"> sets out the 23</w:t>
      </w:r>
      <w:r w:rsidRPr="00D238EB">
        <w:rPr>
          <w:rFonts w:ascii="Arial" w:hAnsi="Arial" w:cs="Arial"/>
          <w:color w:val="000000"/>
          <w:sz w:val="24"/>
          <w:szCs w:val="24"/>
        </w:rPr>
        <w:t xml:space="preserve"> indicators affected in 2013/14, with the current and proposed new thresholds.</w:t>
      </w:r>
      <w:r w:rsidRPr="00D238EB">
        <w:rPr>
          <w:rFonts w:ascii="Arial" w:hAnsi="Arial" w:cs="Arial"/>
          <w:sz w:val="24"/>
          <w:szCs w:val="24"/>
        </w:rPr>
        <w:t xml:space="preserve"> </w:t>
      </w:r>
    </w:p>
    <w:p w:rsidR="00645A76" w:rsidRDefault="00645A76" w:rsidP="00645A76">
      <w:pPr>
        <w:jc w:val="both"/>
        <w:rPr>
          <w:rFonts w:ascii="Arial" w:hAnsi="Arial" w:cs="Arial"/>
          <w:color w:val="000000"/>
          <w:sz w:val="24"/>
          <w:szCs w:val="24"/>
        </w:rPr>
      </w:pPr>
    </w:p>
    <w:p w:rsidR="00645A76" w:rsidRDefault="00645A76" w:rsidP="00645A76">
      <w:pPr>
        <w:numPr>
          <w:ilvl w:val="0"/>
          <w:numId w:val="8"/>
        </w:numPr>
        <w:tabs>
          <w:tab w:val="num" w:pos="426"/>
        </w:tabs>
        <w:ind w:left="426" w:hanging="426"/>
        <w:jc w:val="both"/>
        <w:rPr>
          <w:rFonts w:ascii="Arial" w:hAnsi="Arial" w:cs="Arial"/>
          <w:color w:val="000000"/>
          <w:sz w:val="24"/>
          <w:szCs w:val="24"/>
        </w:rPr>
      </w:pPr>
      <w:r w:rsidRPr="002E2E23">
        <w:rPr>
          <w:rFonts w:ascii="Arial" w:hAnsi="Arial" w:cs="Arial"/>
          <w:color w:val="000000"/>
          <w:sz w:val="24"/>
          <w:szCs w:val="24"/>
        </w:rPr>
        <w:lastRenderedPageBreak/>
        <w:t>Practices w</w:t>
      </w:r>
      <w:r>
        <w:rPr>
          <w:rFonts w:ascii="Arial" w:hAnsi="Arial" w:cs="Arial"/>
          <w:color w:val="000000"/>
          <w:sz w:val="24"/>
          <w:szCs w:val="24"/>
        </w:rPr>
        <w:t>ould</w:t>
      </w:r>
      <w:r w:rsidRPr="002E2E23">
        <w:rPr>
          <w:rFonts w:ascii="Arial" w:hAnsi="Arial" w:cs="Arial"/>
          <w:color w:val="000000"/>
          <w:sz w:val="24"/>
          <w:szCs w:val="24"/>
        </w:rPr>
        <w:t xml:space="preserve"> continue to be able to exception report patients under the existing criteria, including where the interventions are clinically inappropriate or for patients who exercise informed dissent. </w:t>
      </w:r>
    </w:p>
    <w:p w:rsidR="00645A76" w:rsidRPr="002E2E23" w:rsidRDefault="00645A76" w:rsidP="00645A76">
      <w:pPr>
        <w:tabs>
          <w:tab w:val="num" w:pos="426"/>
        </w:tabs>
        <w:jc w:val="both"/>
        <w:rPr>
          <w:rFonts w:ascii="Arial" w:hAnsi="Arial" w:cs="Arial"/>
          <w:color w:val="000000"/>
          <w:sz w:val="24"/>
          <w:szCs w:val="24"/>
        </w:rPr>
      </w:pPr>
    </w:p>
    <w:p w:rsidR="00645A76" w:rsidRDefault="00645A76" w:rsidP="00645A76">
      <w:pPr>
        <w:numPr>
          <w:ilvl w:val="0"/>
          <w:numId w:val="8"/>
        </w:numPr>
        <w:tabs>
          <w:tab w:val="num" w:pos="426"/>
        </w:tabs>
        <w:ind w:left="426" w:hanging="426"/>
        <w:jc w:val="both"/>
        <w:rPr>
          <w:rFonts w:ascii="Arial" w:hAnsi="Arial" w:cs="Arial"/>
          <w:color w:val="000000"/>
          <w:sz w:val="24"/>
          <w:szCs w:val="24"/>
        </w:rPr>
      </w:pPr>
      <w:r w:rsidRPr="002E2E23">
        <w:rPr>
          <w:rFonts w:ascii="Arial" w:hAnsi="Arial" w:cs="Arial"/>
          <w:color w:val="000000"/>
          <w:sz w:val="24"/>
          <w:szCs w:val="24"/>
        </w:rPr>
        <w:t>In 2014/15, it is proposed to raise the thresholds for all fract</w:t>
      </w:r>
      <w:r>
        <w:rPr>
          <w:rFonts w:ascii="Arial" w:hAnsi="Arial" w:cs="Arial"/>
          <w:color w:val="000000"/>
          <w:sz w:val="24"/>
          <w:szCs w:val="24"/>
        </w:rPr>
        <w:t>ion indicators (including the 23</w:t>
      </w:r>
      <w:r w:rsidRPr="002E2E23">
        <w:rPr>
          <w:rFonts w:ascii="Arial" w:hAnsi="Arial" w:cs="Arial"/>
          <w:color w:val="000000"/>
          <w:sz w:val="24"/>
          <w:szCs w:val="24"/>
        </w:rPr>
        <w:t xml:space="preserve"> indicators affected by the 2013/14 change). This w</w:t>
      </w:r>
      <w:r>
        <w:rPr>
          <w:rFonts w:ascii="Arial" w:hAnsi="Arial" w:cs="Arial"/>
          <w:color w:val="000000"/>
          <w:sz w:val="24"/>
          <w:szCs w:val="24"/>
        </w:rPr>
        <w:t>ould</w:t>
      </w:r>
      <w:r w:rsidRPr="002E2E23">
        <w:rPr>
          <w:rFonts w:ascii="Arial" w:hAnsi="Arial" w:cs="Arial"/>
          <w:color w:val="000000"/>
          <w:sz w:val="24"/>
          <w:szCs w:val="24"/>
        </w:rPr>
        <w:t xml:space="preserve"> follow the same methodology as in 2013/14, i.e. raising the upper and lower payment thresho</w:t>
      </w:r>
      <w:r>
        <w:rPr>
          <w:rFonts w:ascii="Arial" w:hAnsi="Arial" w:cs="Arial"/>
          <w:color w:val="000000"/>
          <w:sz w:val="24"/>
          <w:szCs w:val="24"/>
        </w:rPr>
        <w:t>lds for all fraction indicators by a flat percentage unrelated to upper quartiles in NI.</w:t>
      </w:r>
    </w:p>
    <w:p w:rsidR="00645A76" w:rsidRDefault="00645A76" w:rsidP="00645A76">
      <w:pPr>
        <w:jc w:val="both"/>
        <w:rPr>
          <w:rFonts w:ascii="Arial" w:hAnsi="Arial" w:cs="Arial"/>
          <w:color w:val="000000"/>
          <w:sz w:val="24"/>
          <w:szCs w:val="24"/>
        </w:rPr>
      </w:pPr>
    </w:p>
    <w:p w:rsidR="00645A76" w:rsidRPr="00D238EB" w:rsidRDefault="00645A76" w:rsidP="00645A76">
      <w:pPr>
        <w:numPr>
          <w:ilvl w:val="0"/>
          <w:numId w:val="8"/>
        </w:numPr>
        <w:tabs>
          <w:tab w:val="num" w:pos="426"/>
        </w:tabs>
        <w:ind w:left="426" w:hanging="426"/>
        <w:jc w:val="both"/>
        <w:rPr>
          <w:rFonts w:ascii="Arial" w:hAnsi="Arial" w:cs="Arial"/>
          <w:color w:val="000000"/>
          <w:sz w:val="24"/>
          <w:szCs w:val="24"/>
        </w:rPr>
      </w:pPr>
      <w:r w:rsidRPr="00D238EB">
        <w:rPr>
          <w:rFonts w:ascii="Arial" w:hAnsi="Arial" w:cs="Arial"/>
          <w:color w:val="000000"/>
          <w:sz w:val="24"/>
          <w:szCs w:val="24"/>
        </w:rPr>
        <w:t>We expect that NICE will continue to advise on the thresholds for new indicators and for any replacement indicators which represent a significant change, using available evidence on baseline performance and workload implications for practices</w:t>
      </w:r>
      <w:r>
        <w:rPr>
          <w:rFonts w:ascii="Arial" w:hAnsi="Arial" w:cs="Arial"/>
          <w:color w:val="000000"/>
          <w:sz w:val="24"/>
          <w:szCs w:val="24"/>
        </w:rPr>
        <w:t>,</w:t>
      </w:r>
      <w:r w:rsidRPr="00D238EB">
        <w:rPr>
          <w:rFonts w:ascii="Arial" w:hAnsi="Arial" w:cs="Arial"/>
          <w:color w:val="000000"/>
          <w:sz w:val="24"/>
          <w:szCs w:val="24"/>
        </w:rPr>
        <w:t xml:space="preserve"> and in line with the following assumptions:</w:t>
      </w:r>
    </w:p>
    <w:p w:rsidR="00645A76" w:rsidRPr="00D238EB" w:rsidRDefault="00645A76" w:rsidP="00645A76">
      <w:pPr>
        <w:tabs>
          <w:tab w:val="left" w:pos="540"/>
        </w:tabs>
        <w:autoSpaceDE w:val="0"/>
        <w:autoSpaceDN w:val="0"/>
        <w:adjustRightInd w:val="0"/>
        <w:jc w:val="both"/>
        <w:rPr>
          <w:rFonts w:ascii="Arial" w:hAnsi="Arial" w:cs="Arial"/>
          <w:color w:val="000000"/>
          <w:sz w:val="24"/>
          <w:szCs w:val="24"/>
        </w:rPr>
      </w:pPr>
    </w:p>
    <w:p w:rsidR="00645A76" w:rsidRPr="00D238EB" w:rsidRDefault="00645A76" w:rsidP="00645A76">
      <w:pPr>
        <w:numPr>
          <w:ilvl w:val="0"/>
          <w:numId w:val="3"/>
        </w:numPr>
        <w:tabs>
          <w:tab w:val="clear" w:pos="907"/>
          <w:tab w:val="left" w:pos="1080"/>
        </w:tabs>
        <w:autoSpaceDE w:val="0"/>
        <w:autoSpaceDN w:val="0"/>
        <w:adjustRightInd w:val="0"/>
        <w:ind w:left="1080" w:hanging="513"/>
        <w:jc w:val="both"/>
        <w:rPr>
          <w:rFonts w:ascii="Arial" w:hAnsi="Arial" w:cs="Arial"/>
          <w:color w:val="000000"/>
          <w:sz w:val="24"/>
          <w:szCs w:val="24"/>
        </w:rPr>
      </w:pPr>
      <w:r w:rsidRPr="00D238EB">
        <w:rPr>
          <w:rFonts w:ascii="Arial" w:hAnsi="Arial" w:cs="Arial"/>
          <w:sz w:val="24"/>
          <w:szCs w:val="24"/>
        </w:rPr>
        <w:t>Upper thresholds should be set based on evidence of the maximum practically achievable level in the year concerned;</w:t>
      </w:r>
      <w:r>
        <w:rPr>
          <w:rFonts w:ascii="Arial" w:hAnsi="Arial" w:cs="Arial"/>
          <w:sz w:val="24"/>
          <w:szCs w:val="24"/>
        </w:rPr>
        <w:t xml:space="preserve"> and</w:t>
      </w:r>
    </w:p>
    <w:p w:rsidR="00645A76" w:rsidRPr="00D238EB" w:rsidRDefault="00645A76" w:rsidP="00645A76">
      <w:pPr>
        <w:numPr>
          <w:ilvl w:val="0"/>
          <w:numId w:val="3"/>
        </w:numPr>
        <w:tabs>
          <w:tab w:val="clear" w:pos="907"/>
          <w:tab w:val="num" w:pos="1080"/>
        </w:tabs>
        <w:ind w:left="1080" w:hanging="513"/>
        <w:jc w:val="both"/>
        <w:rPr>
          <w:rFonts w:ascii="Arial" w:hAnsi="Arial" w:cs="Arial"/>
          <w:sz w:val="24"/>
          <w:szCs w:val="24"/>
        </w:rPr>
      </w:pPr>
      <w:r w:rsidRPr="00D238EB">
        <w:rPr>
          <w:rFonts w:ascii="Arial" w:hAnsi="Arial" w:cs="Arial"/>
          <w:sz w:val="24"/>
          <w:szCs w:val="24"/>
        </w:rPr>
        <w:t xml:space="preserve">Lower thresholds should be set to </w:t>
      </w:r>
      <w:r w:rsidRPr="00D238EB">
        <w:rPr>
          <w:rFonts w:ascii="Arial" w:hAnsi="Arial" w:cs="Arial"/>
          <w:color w:val="000000"/>
          <w:sz w:val="24"/>
          <w:szCs w:val="24"/>
        </w:rPr>
        <w:t>encourage continuous quality improvement for practices achieving below the upper threshold.</w:t>
      </w:r>
    </w:p>
    <w:p w:rsidR="00645A76" w:rsidRDefault="00645A76" w:rsidP="00645A76">
      <w:pPr>
        <w:jc w:val="both"/>
        <w:rPr>
          <w:bCs/>
          <w:szCs w:val="24"/>
        </w:rPr>
      </w:pPr>
    </w:p>
    <w:p w:rsidR="00645A76" w:rsidRPr="004D3641" w:rsidRDefault="00645A76" w:rsidP="00645A76">
      <w:pPr>
        <w:jc w:val="both"/>
        <w:rPr>
          <w:rFonts w:ascii="Arial" w:hAnsi="Arial" w:cs="Arial"/>
          <w:b/>
          <w:sz w:val="24"/>
          <w:szCs w:val="24"/>
        </w:rPr>
      </w:pPr>
      <w:r w:rsidRPr="004D3641">
        <w:rPr>
          <w:rFonts w:ascii="Arial" w:hAnsi="Arial" w:cs="Arial"/>
          <w:b/>
          <w:sz w:val="24"/>
          <w:szCs w:val="24"/>
        </w:rPr>
        <w:t xml:space="preserve">Quality and Outcomes Framework: Review dates </w:t>
      </w:r>
    </w:p>
    <w:p w:rsidR="00645A76" w:rsidRPr="006C0464" w:rsidRDefault="00645A76" w:rsidP="00645A76">
      <w:pPr>
        <w:autoSpaceDE w:val="0"/>
        <w:autoSpaceDN w:val="0"/>
        <w:adjustRightInd w:val="0"/>
        <w:rPr>
          <w:rFonts w:ascii="Arial" w:hAnsi="Arial" w:cs="Arial"/>
          <w:b/>
        </w:rPr>
      </w:pPr>
    </w:p>
    <w:p w:rsidR="00645A76" w:rsidRPr="004D3641" w:rsidRDefault="00645A76" w:rsidP="00645A76">
      <w:pPr>
        <w:numPr>
          <w:ilvl w:val="0"/>
          <w:numId w:val="8"/>
        </w:numPr>
        <w:tabs>
          <w:tab w:val="num" w:pos="426"/>
        </w:tabs>
        <w:ind w:left="426" w:hanging="426"/>
        <w:jc w:val="both"/>
        <w:rPr>
          <w:rFonts w:ascii="Arial" w:hAnsi="Arial" w:cs="Arial"/>
          <w:color w:val="000000"/>
          <w:sz w:val="24"/>
          <w:szCs w:val="24"/>
        </w:rPr>
      </w:pPr>
      <w:r>
        <w:rPr>
          <w:rFonts w:ascii="Arial" w:hAnsi="Arial" w:cs="Arial"/>
          <w:color w:val="000000"/>
          <w:sz w:val="24"/>
          <w:szCs w:val="24"/>
        </w:rPr>
        <w:t xml:space="preserve">It is not planned to make any </w:t>
      </w:r>
      <w:r w:rsidRPr="004D3641">
        <w:rPr>
          <w:rFonts w:ascii="Arial" w:hAnsi="Arial" w:cs="Arial"/>
          <w:color w:val="000000"/>
          <w:sz w:val="24"/>
          <w:szCs w:val="24"/>
        </w:rPr>
        <w:t xml:space="preserve">changes to the QOF review dates.  </w:t>
      </w:r>
      <w:r>
        <w:rPr>
          <w:rFonts w:ascii="Arial" w:hAnsi="Arial" w:cs="Arial"/>
          <w:color w:val="000000"/>
          <w:sz w:val="24"/>
          <w:szCs w:val="24"/>
        </w:rPr>
        <w:t>H</w:t>
      </w:r>
      <w:r w:rsidRPr="004D3641">
        <w:rPr>
          <w:rFonts w:ascii="Arial" w:hAnsi="Arial" w:cs="Arial"/>
          <w:color w:val="000000"/>
          <w:sz w:val="24"/>
          <w:szCs w:val="24"/>
        </w:rPr>
        <w:t xml:space="preserve">owever, the decision not to implement the QOF review dates changes will be dependent on the capacity for software suppliers to apply different business rules for </w:t>
      </w:r>
      <w:r>
        <w:rPr>
          <w:rFonts w:ascii="Arial" w:hAnsi="Arial" w:cs="Arial"/>
          <w:color w:val="000000"/>
          <w:sz w:val="24"/>
          <w:szCs w:val="24"/>
        </w:rPr>
        <w:t>NI</w:t>
      </w:r>
      <w:r w:rsidRPr="004D3641">
        <w:rPr>
          <w:rFonts w:ascii="Arial" w:hAnsi="Arial" w:cs="Arial"/>
          <w:color w:val="000000"/>
          <w:sz w:val="24"/>
          <w:szCs w:val="24"/>
        </w:rPr>
        <w:t xml:space="preserve"> within required timescales and reasonable costs.    </w:t>
      </w:r>
    </w:p>
    <w:p w:rsidR="00645A76" w:rsidRDefault="00645A76" w:rsidP="00645A76">
      <w:pPr>
        <w:jc w:val="both"/>
        <w:rPr>
          <w:rFonts w:ascii="Arial" w:hAnsi="Arial" w:cs="Arial"/>
          <w:b/>
          <w:sz w:val="24"/>
          <w:szCs w:val="24"/>
        </w:rPr>
      </w:pPr>
    </w:p>
    <w:p w:rsidR="00645A76" w:rsidRDefault="00645A76" w:rsidP="00645A76">
      <w:pPr>
        <w:jc w:val="both"/>
        <w:rPr>
          <w:rFonts w:ascii="Arial" w:hAnsi="Arial" w:cs="Arial"/>
          <w:b/>
          <w:sz w:val="24"/>
          <w:szCs w:val="24"/>
        </w:rPr>
      </w:pPr>
      <w:r w:rsidRPr="00D238EB">
        <w:rPr>
          <w:rFonts w:ascii="Arial" w:hAnsi="Arial" w:cs="Arial"/>
          <w:b/>
          <w:sz w:val="24"/>
          <w:szCs w:val="24"/>
        </w:rPr>
        <w:t xml:space="preserve">Other </w:t>
      </w:r>
      <w:r>
        <w:rPr>
          <w:rFonts w:ascii="Arial" w:hAnsi="Arial" w:cs="Arial"/>
          <w:b/>
          <w:sz w:val="24"/>
          <w:szCs w:val="24"/>
        </w:rPr>
        <w:t>(</w:t>
      </w:r>
      <w:r w:rsidRPr="00D238EB">
        <w:rPr>
          <w:rFonts w:ascii="Arial" w:hAnsi="Arial" w:cs="Arial"/>
          <w:b/>
          <w:sz w:val="24"/>
          <w:szCs w:val="24"/>
        </w:rPr>
        <w:t>presentational</w:t>
      </w:r>
      <w:r>
        <w:rPr>
          <w:rFonts w:ascii="Arial" w:hAnsi="Arial" w:cs="Arial"/>
          <w:b/>
          <w:sz w:val="24"/>
          <w:szCs w:val="24"/>
        </w:rPr>
        <w:t>)</w:t>
      </w:r>
      <w:r w:rsidRPr="00D238EB">
        <w:rPr>
          <w:rFonts w:ascii="Arial" w:hAnsi="Arial" w:cs="Arial"/>
          <w:b/>
          <w:sz w:val="24"/>
          <w:szCs w:val="24"/>
        </w:rPr>
        <w:t xml:space="preserve"> amendments</w:t>
      </w:r>
      <w:r>
        <w:rPr>
          <w:rFonts w:ascii="Arial" w:hAnsi="Arial" w:cs="Arial"/>
          <w:b/>
          <w:sz w:val="24"/>
          <w:szCs w:val="24"/>
        </w:rPr>
        <w:t xml:space="preserve"> to QOF </w:t>
      </w:r>
    </w:p>
    <w:p w:rsidR="00645A76" w:rsidRPr="00D238EB" w:rsidRDefault="00645A76" w:rsidP="00645A76">
      <w:pPr>
        <w:jc w:val="both"/>
        <w:rPr>
          <w:rFonts w:ascii="Arial" w:hAnsi="Arial" w:cs="Arial"/>
          <w:b/>
          <w:sz w:val="24"/>
          <w:szCs w:val="24"/>
        </w:rPr>
      </w:pPr>
    </w:p>
    <w:p w:rsidR="00645A76" w:rsidRPr="00D238EB" w:rsidRDefault="00645A76" w:rsidP="00645A76">
      <w:pPr>
        <w:numPr>
          <w:ilvl w:val="0"/>
          <w:numId w:val="8"/>
        </w:numPr>
        <w:tabs>
          <w:tab w:val="num" w:pos="426"/>
        </w:tabs>
        <w:ind w:left="426" w:hanging="426"/>
        <w:jc w:val="both"/>
        <w:rPr>
          <w:rFonts w:ascii="Arial" w:hAnsi="Arial" w:cs="Arial"/>
          <w:sz w:val="24"/>
          <w:szCs w:val="24"/>
        </w:rPr>
      </w:pPr>
      <w:r>
        <w:rPr>
          <w:rFonts w:ascii="Arial" w:hAnsi="Arial" w:cs="Arial"/>
          <w:sz w:val="24"/>
          <w:szCs w:val="24"/>
        </w:rPr>
        <w:t xml:space="preserve">It is </w:t>
      </w:r>
      <w:r w:rsidRPr="00D238EB">
        <w:rPr>
          <w:rFonts w:ascii="Arial" w:hAnsi="Arial" w:cs="Arial"/>
          <w:sz w:val="24"/>
          <w:szCs w:val="24"/>
        </w:rPr>
        <w:t>propose</w:t>
      </w:r>
      <w:r>
        <w:rPr>
          <w:rFonts w:ascii="Arial" w:hAnsi="Arial" w:cs="Arial"/>
          <w:sz w:val="24"/>
          <w:szCs w:val="24"/>
        </w:rPr>
        <w:t>d</w:t>
      </w:r>
      <w:r w:rsidRPr="00D238EB">
        <w:rPr>
          <w:rFonts w:ascii="Arial" w:hAnsi="Arial" w:cs="Arial"/>
          <w:sz w:val="24"/>
          <w:szCs w:val="24"/>
        </w:rPr>
        <w:t xml:space="preserve"> to make the following presentational improvements</w:t>
      </w:r>
      <w:r>
        <w:rPr>
          <w:rFonts w:ascii="Arial" w:hAnsi="Arial" w:cs="Arial"/>
          <w:sz w:val="24"/>
          <w:szCs w:val="24"/>
        </w:rPr>
        <w:t xml:space="preserve"> to Annex D of the Statement of Financial Entitlement (which covers the QOF)</w:t>
      </w:r>
      <w:r w:rsidRPr="00D238EB">
        <w:rPr>
          <w:rFonts w:ascii="Arial" w:hAnsi="Arial" w:cs="Arial"/>
          <w:sz w:val="24"/>
          <w:szCs w:val="24"/>
        </w:rPr>
        <w:t>:</w:t>
      </w:r>
    </w:p>
    <w:p w:rsidR="00645A76" w:rsidRPr="00D238EB" w:rsidRDefault="00645A76" w:rsidP="00645A76">
      <w:pPr>
        <w:jc w:val="both"/>
        <w:rPr>
          <w:rFonts w:ascii="Arial" w:hAnsi="Arial" w:cs="Arial"/>
          <w:sz w:val="24"/>
          <w:szCs w:val="24"/>
        </w:rPr>
      </w:pPr>
    </w:p>
    <w:p w:rsidR="00645A76" w:rsidRPr="00D238EB" w:rsidRDefault="00645A76" w:rsidP="00645A76">
      <w:pPr>
        <w:numPr>
          <w:ilvl w:val="0"/>
          <w:numId w:val="5"/>
        </w:numPr>
        <w:tabs>
          <w:tab w:val="clear" w:pos="907"/>
          <w:tab w:val="num" w:pos="1080"/>
        </w:tabs>
        <w:ind w:left="1080" w:hanging="513"/>
        <w:jc w:val="both"/>
        <w:rPr>
          <w:rFonts w:ascii="Arial" w:hAnsi="Arial" w:cs="Arial"/>
          <w:sz w:val="24"/>
          <w:szCs w:val="24"/>
        </w:rPr>
      </w:pPr>
      <w:r w:rsidRPr="00D238EB">
        <w:rPr>
          <w:rFonts w:ascii="Arial" w:hAnsi="Arial" w:cs="Arial"/>
          <w:sz w:val="24"/>
          <w:szCs w:val="24"/>
        </w:rPr>
        <w:t>The Statements of Financial Entitlements Directions w</w:t>
      </w:r>
      <w:r>
        <w:rPr>
          <w:rFonts w:ascii="Arial" w:hAnsi="Arial" w:cs="Arial"/>
          <w:sz w:val="24"/>
          <w:szCs w:val="24"/>
        </w:rPr>
        <w:t>ould</w:t>
      </w:r>
      <w:r w:rsidRPr="00D238EB">
        <w:rPr>
          <w:rFonts w:ascii="Arial" w:hAnsi="Arial" w:cs="Arial"/>
          <w:sz w:val="24"/>
          <w:szCs w:val="24"/>
        </w:rPr>
        <w:t xml:space="preserve"> include only the information that is necessary to establish c</w:t>
      </w:r>
      <w:r>
        <w:rPr>
          <w:rFonts w:ascii="Arial" w:hAnsi="Arial" w:cs="Arial"/>
          <w:sz w:val="24"/>
          <w:szCs w:val="24"/>
        </w:rPr>
        <w:t>learly entitlements to payments</w:t>
      </w:r>
      <w:r w:rsidRPr="00D238EB">
        <w:rPr>
          <w:rFonts w:ascii="Arial" w:hAnsi="Arial" w:cs="Arial"/>
          <w:sz w:val="24"/>
          <w:szCs w:val="24"/>
        </w:rPr>
        <w:t>;</w:t>
      </w:r>
    </w:p>
    <w:p w:rsidR="00645A76" w:rsidRPr="00D238EB" w:rsidRDefault="00645A76" w:rsidP="00645A76">
      <w:pPr>
        <w:numPr>
          <w:ilvl w:val="0"/>
          <w:numId w:val="5"/>
        </w:numPr>
        <w:tabs>
          <w:tab w:val="clear" w:pos="907"/>
          <w:tab w:val="num" w:pos="1080"/>
        </w:tabs>
        <w:ind w:left="1080" w:hanging="513"/>
        <w:jc w:val="both"/>
        <w:rPr>
          <w:rFonts w:ascii="Arial" w:hAnsi="Arial" w:cs="Arial"/>
          <w:sz w:val="24"/>
          <w:szCs w:val="24"/>
        </w:rPr>
      </w:pPr>
      <w:r w:rsidRPr="00D238EB">
        <w:rPr>
          <w:rFonts w:ascii="Arial" w:hAnsi="Arial" w:cs="Arial"/>
          <w:sz w:val="24"/>
          <w:szCs w:val="24"/>
        </w:rPr>
        <w:t>The ordering of areas and indicators within the Domains w</w:t>
      </w:r>
      <w:r>
        <w:rPr>
          <w:rFonts w:ascii="Arial" w:hAnsi="Arial" w:cs="Arial"/>
          <w:sz w:val="24"/>
          <w:szCs w:val="24"/>
        </w:rPr>
        <w:t>ould</w:t>
      </w:r>
      <w:r w:rsidRPr="00D238EB">
        <w:rPr>
          <w:rFonts w:ascii="Arial" w:hAnsi="Arial" w:cs="Arial"/>
          <w:sz w:val="24"/>
          <w:szCs w:val="24"/>
        </w:rPr>
        <w:t xml:space="preserve"> be rationalised to make it easier for readers to follow. NHSE </w:t>
      </w:r>
      <w:r>
        <w:rPr>
          <w:rFonts w:ascii="Arial" w:hAnsi="Arial" w:cs="Arial"/>
          <w:sz w:val="24"/>
          <w:szCs w:val="24"/>
        </w:rPr>
        <w:t>have</w:t>
      </w:r>
      <w:r w:rsidRPr="00D238EB">
        <w:rPr>
          <w:rFonts w:ascii="Arial" w:hAnsi="Arial" w:cs="Arial"/>
          <w:sz w:val="24"/>
          <w:szCs w:val="24"/>
        </w:rPr>
        <w:t xml:space="preserve"> consult</w:t>
      </w:r>
      <w:r>
        <w:rPr>
          <w:rFonts w:ascii="Arial" w:hAnsi="Arial" w:cs="Arial"/>
          <w:sz w:val="24"/>
          <w:szCs w:val="24"/>
        </w:rPr>
        <w:t>ed</w:t>
      </w:r>
      <w:r w:rsidRPr="00D238EB">
        <w:rPr>
          <w:rFonts w:ascii="Arial" w:hAnsi="Arial" w:cs="Arial"/>
          <w:sz w:val="24"/>
          <w:szCs w:val="24"/>
        </w:rPr>
        <w:t xml:space="preserve"> NICE on proposed changes;</w:t>
      </w:r>
      <w:r>
        <w:rPr>
          <w:rFonts w:ascii="Arial" w:hAnsi="Arial" w:cs="Arial"/>
          <w:sz w:val="24"/>
          <w:szCs w:val="24"/>
        </w:rPr>
        <w:t xml:space="preserve"> and</w:t>
      </w:r>
    </w:p>
    <w:p w:rsidR="00645A76" w:rsidRPr="00D238EB" w:rsidRDefault="00645A76" w:rsidP="00645A76">
      <w:pPr>
        <w:numPr>
          <w:ilvl w:val="0"/>
          <w:numId w:val="5"/>
        </w:numPr>
        <w:tabs>
          <w:tab w:val="clear" w:pos="907"/>
          <w:tab w:val="num" w:pos="1080"/>
        </w:tabs>
        <w:ind w:left="1080" w:hanging="513"/>
        <w:jc w:val="both"/>
        <w:rPr>
          <w:rFonts w:ascii="Arial" w:hAnsi="Arial" w:cs="Arial"/>
          <w:sz w:val="24"/>
          <w:szCs w:val="24"/>
        </w:rPr>
      </w:pPr>
      <w:r>
        <w:rPr>
          <w:rFonts w:ascii="Arial" w:hAnsi="Arial" w:cs="Arial"/>
          <w:sz w:val="24"/>
          <w:szCs w:val="24"/>
        </w:rPr>
        <w:t>The indicators would</w:t>
      </w:r>
      <w:r w:rsidRPr="00D238EB">
        <w:rPr>
          <w:rFonts w:ascii="Arial" w:hAnsi="Arial" w:cs="Arial"/>
          <w:sz w:val="24"/>
          <w:szCs w:val="24"/>
        </w:rPr>
        <w:t xml:space="preserve"> be re-numbered in accordance strictly with the order in which they appear. This w</w:t>
      </w:r>
      <w:r>
        <w:rPr>
          <w:rFonts w:ascii="Arial" w:hAnsi="Arial" w:cs="Arial"/>
          <w:sz w:val="24"/>
          <w:szCs w:val="24"/>
        </w:rPr>
        <w:t>ould</w:t>
      </w:r>
      <w:r w:rsidRPr="00D238EB">
        <w:rPr>
          <w:rFonts w:ascii="Arial" w:hAnsi="Arial" w:cs="Arial"/>
          <w:sz w:val="24"/>
          <w:szCs w:val="24"/>
        </w:rPr>
        <w:t xml:space="preserve"> effectively re-set QOF numbering for 2013/14 to make the QOF easier to follow. In future years the practice of allocating a new number to indicators that are replacements could be resumed, depending on what is agreed between the </w:t>
      </w:r>
      <w:r>
        <w:rPr>
          <w:rFonts w:ascii="Arial" w:hAnsi="Arial" w:cs="Arial"/>
          <w:sz w:val="24"/>
          <w:szCs w:val="24"/>
        </w:rPr>
        <w:t>Department</w:t>
      </w:r>
      <w:r w:rsidRPr="00D238EB">
        <w:rPr>
          <w:rFonts w:ascii="Arial" w:hAnsi="Arial" w:cs="Arial"/>
          <w:sz w:val="24"/>
          <w:szCs w:val="24"/>
        </w:rPr>
        <w:t xml:space="preserve"> and the other parties.</w:t>
      </w:r>
    </w:p>
    <w:p w:rsidR="00645A76" w:rsidRPr="00D238EB" w:rsidRDefault="00645A76" w:rsidP="00645A76">
      <w:pPr>
        <w:pStyle w:val="Header"/>
        <w:jc w:val="both"/>
        <w:rPr>
          <w:bCs/>
          <w:szCs w:val="24"/>
        </w:rPr>
      </w:pPr>
    </w:p>
    <w:p w:rsidR="00645A76" w:rsidRPr="008831A4" w:rsidRDefault="00645A76" w:rsidP="00645A76">
      <w:pPr>
        <w:jc w:val="both"/>
        <w:rPr>
          <w:rFonts w:ascii="Arial" w:hAnsi="Arial" w:cs="Arial"/>
          <w:b/>
          <w:sz w:val="24"/>
          <w:szCs w:val="24"/>
        </w:rPr>
      </w:pPr>
      <w:r w:rsidRPr="008831A4">
        <w:rPr>
          <w:rFonts w:ascii="Arial" w:hAnsi="Arial" w:cs="Arial"/>
          <w:b/>
          <w:sz w:val="24"/>
          <w:szCs w:val="24"/>
        </w:rPr>
        <w:t>Amendment to Item of Service payments</w:t>
      </w:r>
    </w:p>
    <w:p w:rsidR="00645A76" w:rsidRPr="00C802AE" w:rsidRDefault="00645A76" w:rsidP="00645A76">
      <w:pPr>
        <w:numPr>
          <w:ilvl w:val="0"/>
          <w:numId w:val="8"/>
        </w:numPr>
        <w:tabs>
          <w:tab w:val="num" w:pos="426"/>
        </w:tabs>
        <w:ind w:left="426" w:hanging="426"/>
        <w:jc w:val="both"/>
        <w:rPr>
          <w:rFonts w:ascii="Arial" w:eastAsia="MS Mincho" w:hAnsi="Arial" w:cs="Calibri"/>
          <w:sz w:val="24"/>
          <w:szCs w:val="24"/>
          <w:lang w:eastAsia="ja-JP" w:bidi="ne-NP"/>
        </w:rPr>
      </w:pPr>
      <w:r w:rsidRPr="00C802AE">
        <w:rPr>
          <w:rFonts w:ascii="Arial" w:eastAsia="MS Mincho" w:hAnsi="Arial" w:cs="Calibri"/>
          <w:sz w:val="24"/>
          <w:szCs w:val="24"/>
          <w:lang w:eastAsia="ja-JP" w:bidi="ne-NP"/>
        </w:rPr>
        <w:t>We propose to introduce changes to the contract to accommodate delivery of vaccination and immunisation recommendations made by the Joint Committee for Vaccination and Immunisation (JCVI) which are planned for introduction from 1 September 2013.  The revised SFE amendments are included at Annex B.</w:t>
      </w:r>
    </w:p>
    <w:p w:rsidR="00645A76" w:rsidRPr="00C802AE" w:rsidRDefault="00645A76" w:rsidP="00645A76">
      <w:pPr>
        <w:autoSpaceDE w:val="0"/>
        <w:autoSpaceDN w:val="0"/>
        <w:adjustRightInd w:val="0"/>
        <w:jc w:val="both"/>
        <w:rPr>
          <w:rFonts w:ascii="Arial" w:eastAsia="MS Mincho" w:hAnsi="Arial" w:cs="Calibri"/>
          <w:sz w:val="24"/>
          <w:szCs w:val="24"/>
          <w:lang w:eastAsia="ja-JP" w:bidi="ne-NP"/>
        </w:rPr>
      </w:pPr>
    </w:p>
    <w:p w:rsidR="00645A76" w:rsidRPr="00C802AE" w:rsidRDefault="00645A76" w:rsidP="00645A76">
      <w:pPr>
        <w:numPr>
          <w:ilvl w:val="0"/>
          <w:numId w:val="8"/>
        </w:numPr>
        <w:tabs>
          <w:tab w:val="num" w:pos="426"/>
        </w:tabs>
        <w:ind w:left="426" w:hanging="426"/>
        <w:jc w:val="both"/>
        <w:rPr>
          <w:rFonts w:ascii="Arial" w:eastAsia="MS Mincho" w:hAnsi="Arial" w:cs="Calibri"/>
          <w:sz w:val="24"/>
          <w:szCs w:val="24"/>
          <w:lang w:eastAsia="ja-JP" w:bidi="ne-NP"/>
        </w:rPr>
      </w:pPr>
      <w:r w:rsidRPr="00C802AE">
        <w:rPr>
          <w:rFonts w:ascii="Arial" w:eastAsia="MS Mincho" w:hAnsi="Arial" w:cs="Calibri"/>
          <w:sz w:val="24"/>
          <w:szCs w:val="24"/>
          <w:lang w:eastAsia="ja-JP" w:bidi="ne-NP"/>
        </w:rPr>
        <w:lastRenderedPageBreak/>
        <w:t>The changes detailed introduce a new item of service fee of £7.63 for a completed course of rotavirus for infants from the start of this new programme from September 2013. Having proposed and considered instructing on changes to the SFE to substitute Rotavirus for Men C in the target payments system this would be too complicated as to be practicable or indeed transparent to practices. The target payments w</w:t>
      </w:r>
      <w:r>
        <w:rPr>
          <w:rFonts w:ascii="Arial" w:eastAsia="MS Mincho" w:hAnsi="Arial" w:cs="Calibri"/>
          <w:sz w:val="24"/>
          <w:szCs w:val="24"/>
          <w:lang w:eastAsia="ja-JP" w:bidi="ne-NP"/>
        </w:rPr>
        <w:t>ould</w:t>
      </w:r>
      <w:r w:rsidRPr="00C802AE">
        <w:rPr>
          <w:rFonts w:ascii="Arial" w:eastAsia="MS Mincho" w:hAnsi="Arial" w:cs="Calibri"/>
          <w:sz w:val="24"/>
          <w:szCs w:val="24"/>
          <w:lang w:eastAsia="ja-JP" w:bidi="ne-NP"/>
        </w:rPr>
        <w:t xml:space="preserve"> therefore remain unchanged until the new 1 dose Men C cohort is in scope of the target payment age 2 cohort (ie 2015/16) and propose an adjustment is made then to reflect in the target payments a reduction from one 2 dose to 1 dose Men C. </w:t>
      </w:r>
    </w:p>
    <w:p w:rsidR="00645A76" w:rsidRPr="00C802AE" w:rsidRDefault="00645A76" w:rsidP="00645A76">
      <w:pPr>
        <w:autoSpaceDE w:val="0"/>
        <w:autoSpaceDN w:val="0"/>
        <w:adjustRightInd w:val="0"/>
        <w:jc w:val="both"/>
        <w:rPr>
          <w:rFonts w:ascii="Arial" w:eastAsia="MS Mincho" w:hAnsi="Arial" w:cs="Calibri"/>
          <w:sz w:val="24"/>
          <w:szCs w:val="24"/>
          <w:lang w:eastAsia="ja-JP" w:bidi="ne-NP"/>
        </w:rPr>
      </w:pPr>
    </w:p>
    <w:p w:rsidR="00645A76" w:rsidRPr="00C802AE" w:rsidRDefault="00645A76" w:rsidP="00645A76">
      <w:pPr>
        <w:numPr>
          <w:ilvl w:val="0"/>
          <w:numId w:val="8"/>
        </w:numPr>
        <w:tabs>
          <w:tab w:val="num" w:pos="426"/>
        </w:tabs>
        <w:ind w:left="426" w:hanging="426"/>
        <w:jc w:val="both"/>
        <w:rPr>
          <w:rFonts w:ascii="Arial" w:eastAsia="MS Mincho" w:hAnsi="Arial" w:cs="Calibri"/>
          <w:sz w:val="24"/>
          <w:szCs w:val="24"/>
          <w:lang w:eastAsia="ja-JP" w:bidi="ne-NP"/>
        </w:rPr>
      </w:pPr>
      <w:r w:rsidRPr="00C802AE">
        <w:rPr>
          <w:rFonts w:ascii="Arial" w:eastAsia="MS Mincho" w:hAnsi="Arial" w:cs="Calibri"/>
          <w:sz w:val="24"/>
          <w:szCs w:val="24"/>
          <w:lang w:eastAsia="ja-JP" w:bidi="ne-NP"/>
        </w:rPr>
        <w:t xml:space="preserve">We propose to also introduce a new item of service fee of £7.63 to make payments for Shingles immunisation for elderly patients. </w:t>
      </w:r>
    </w:p>
    <w:p w:rsidR="00645A76" w:rsidRPr="00C802AE" w:rsidRDefault="00645A76" w:rsidP="00645A76">
      <w:pPr>
        <w:autoSpaceDE w:val="0"/>
        <w:autoSpaceDN w:val="0"/>
        <w:adjustRightInd w:val="0"/>
        <w:jc w:val="both"/>
        <w:rPr>
          <w:rFonts w:ascii="Arial" w:eastAsia="MS Mincho" w:hAnsi="Arial" w:cs="Calibri"/>
          <w:sz w:val="24"/>
          <w:szCs w:val="24"/>
          <w:lang w:eastAsia="ja-JP" w:bidi="ne-NP"/>
        </w:rPr>
      </w:pPr>
    </w:p>
    <w:p w:rsidR="00645A76" w:rsidRPr="00212392" w:rsidRDefault="00645A76" w:rsidP="00645A76">
      <w:pPr>
        <w:numPr>
          <w:ilvl w:val="0"/>
          <w:numId w:val="8"/>
        </w:numPr>
        <w:tabs>
          <w:tab w:val="num" w:pos="426"/>
        </w:tabs>
        <w:ind w:left="426" w:hanging="426"/>
        <w:jc w:val="both"/>
        <w:rPr>
          <w:rFonts w:ascii="Arial" w:hAnsi="Arial"/>
          <w:bCs/>
          <w:sz w:val="24"/>
          <w:szCs w:val="24"/>
        </w:rPr>
      </w:pPr>
      <w:r w:rsidRPr="00212392">
        <w:rPr>
          <w:rFonts w:ascii="Arial" w:eastAsia="MS Mincho" w:hAnsi="Arial"/>
          <w:sz w:val="24"/>
          <w:szCs w:val="24"/>
          <w:lang w:eastAsia="ja-JP" w:bidi="ne-NP"/>
        </w:rPr>
        <w:t xml:space="preserve">In both cases of the new immunisations to be introduced the immunisations can be given within existing planned patient appointments so the proposed payments are reasonable and reflect the additional practice work for the immunisations to be undertaken. </w:t>
      </w:r>
    </w:p>
    <w:p w:rsidR="00645A76" w:rsidRPr="00D238EB" w:rsidRDefault="00645A76" w:rsidP="00645A76">
      <w:pPr>
        <w:pStyle w:val="Header"/>
        <w:jc w:val="both"/>
        <w:rPr>
          <w:bCs/>
          <w:szCs w:val="24"/>
        </w:rPr>
      </w:pPr>
    </w:p>
    <w:p w:rsidR="00645A76" w:rsidRPr="001B532E" w:rsidRDefault="00645A76" w:rsidP="00645A76">
      <w:pPr>
        <w:rPr>
          <w:rFonts w:ascii="Arial" w:hAnsi="Arial" w:cs="Arial"/>
          <w:b/>
          <w:sz w:val="24"/>
          <w:szCs w:val="24"/>
        </w:rPr>
      </w:pPr>
      <w:r w:rsidRPr="001B532E">
        <w:rPr>
          <w:rFonts w:ascii="Arial" w:hAnsi="Arial" w:cs="Arial"/>
          <w:b/>
          <w:sz w:val="24"/>
          <w:szCs w:val="24"/>
        </w:rPr>
        <w:t>Clinical Priorities 2013/14</w:t>
      </w:r>
    </w:p>
    <w:p w:rsidR="00645A76" w:rsidRDefault="00645A76" w:rsidP="00645A76">
      <w:pPr>
        <w:rPr>
          <w:rFonts w:ascii="Arial" w:hAnsi="Arial" w:cs="Arial"/>
          <w:b/>
          <w:sz w:val="24"/>
          <w:szCs w:val="24"/>
        </w:rPr>
      </w:pPr>
    </w:p>
    <w:p w:rsidR="00645A76" w:rsidRPr="00250D2C" w:rsidRDefault="00645A76" w:rsidP="00645A76">
      <w:pPr>
        <w:numPr>
          <w:ilvl w:val="0"/>
          <w:numId w:val="8"/>
        </w:numPr>
        <w:tabs>
          <w:tab w:val="num" w:pos="426"/>
        </w:tabs>
        <w:ind w:left="426" w:hanging="426"/>
        <w:jc w:val="both"/>
        <w:rPr>
          <w:rFonts w:ascii="Arial" w:eastAsia="MS Mincho" w:hAnsi="Arial"/>
          <w:sz w:val="24"/>
          <w:szCs w:val="24"/>
          <w:lang w:eastAsia="ja-JP" w:bidi="ne-NP"/>
        </w:rPr>
      </w:pPr>
      <w:r w:rsidRPr="00250D2C">
        <w:rPr>
          <w:rFonts w:ascii="Arial" w:eastAsia="MS Mincho" w:hAnsi="Arial"/>
          <w:sz w:val="24"/>
          <w:szCs w:val="24"/>
          <w:lang w:eastAsia="ja-JP" w:bidi="ne-NP"/>
        </w:rPr>
        <w:t>Clinical Priorities for 2013/14 will be developed by the Department in consultation with the HSC Board and GPC NI.</w:t>
      </w:r>
    </w:p>
    <w:p w:rsidR="00645A76" w:rsidRPr="008831A4" w:rsidRDefault="00645A76" w:rsidP="00645A76">
      <w:pPr>
        <w:pStyle w:val="Header"/>
        <w:jc w:val="right"/>
        <w:rPr>
          <w:b/>
          <w:szCs w:val="24"/>
        </w:rPr>
      </w:pPr>
      <w:r>
        <w:rPr>
          <w:bCs/>
          <w:szCs w:val="24"/>
        </w:rPr>
        <w:br w:type="page"/>
      </w:r>
      <w:r w:rsidRPr="008831A4">
        <w:rPr>
          <w:b/>
          <w:szCs w:val="24"/>
        </w:rPr>
        <w:lastRenderedPageBreak/>
        <w:t>Appendix 1</w:t>
      </w:r>
    </w:p>
    <w:p w:rsidR="00645A76" w:rsidRPr="00A804EF" w:rsidRDefault="00645A76" w:rsidP="00645A76">
      <w:pPr>
        <w:rPr>
          <w:rFonts w:ascii="Arial" w:hAnsi="Arial" w:cs="Arial"/>
          <w:b/>
          <w:sz w:val="24"/>
          <w:szCs w:val="24"/>
          <w:u w:val="single"/>
        </w:rPr>
      </w:pPr>
      <w:r>
        <w:rPr>
          <w:rFonts w:ascii="Arial" w:hAnsi="Arial"/>
          <w:b/>
          <w:sz w:val="24"/>
          <w:szCs w:val="24"/>
          <w:u w:val="single"/>
        </w:rPr>
        <w:t xml:space="preserve">Summary </w:t>
      </w:r>
      <w:r w:rsidRPr="00A804EF">
        <w:rPr>
          <w:rFonts w:ascii="Arial" w:hAnsi="Arial"/>
          <w:b/>
          <w:sz w:val="24"/>
          <w:szCs w:val="24"/>
          <w:u w:val="single"/>
        </w:rPr>
        <w:t xml:space="preserve">of </w:t>
      </w:r>
      <w:r w:rsidRPr="00A804EF">
        <w:rPr>
          <w:rFonts w:ascii="Arial" w:hAnsi="Arial" w:cs="Arial"/>
          <w:b/>
          <w:sz w:val="24"/>
          <w:szCs w:val="24"/>
          <w:u w:val="single"/>
        </w:rPr>
        <w:t>proposed new and replacement indicators and the proposed movement of points.</w:t>
      </w:r>
    </w:p>
    <w:tbl>
      <w:tblPr>
        <w:tblW w:w="9087" w:type="dxa"/>
        <w:tblInd w:w="93" w:type="dxa"/>
        <w:tblLayout w:type="fixed"/>
        <w:tblLook w:val="0000" w:firstRow="0" w:lastRow="0" w:firstColumn="0" w:lastColumn="0" w:noHBand="0" w:noVBand="0"/>
      </w:tblPr>
      <w:tblGrid>
        <w:gridCol w:w="1149"/>
        <w:gridCol w:w="851"/>
        <w:gridCol w:w="4678"/>
        <w:gridCol w:w="1417"/>
        <w:gridCol w:w="992"/>
      </w:tblGrid>
      <w:tr w:rsidR="00645A76" w:rsidTr="00896462">
        <w:trPr>
          <w:trHeight w:val="315"/>
        </w:trPr>
        <w:tc>
          <w:tcPr>
            <w:tcW w:w="9087" w:type="dxa"/>
            <w:gridSpan w:val="5"/>
            <w:tcBorders>
              <w:top w:val="nil"/>
              <w:left w:val="nil"/>
              <w:bottom w:val="nil"/>
              <w:right w:val="nil"/>
            </w:tcBorders>
            <w:noWrap/>
            <w:vAlign w:val="bottom"/>
          </w:tcPr>
          <w:p w:rsidR="00645A76" w:rsidRPr="00E21CDC" w:rsidRDefault="00645A76" w:rsidP="00896462">
            <w:pPr>
              <w:rPr>
                <w:rFonts w:ascii="Arial" w:hAnsi="Arial" w:cs="Arial"/>
              </w:rPr>
            </w:pPr>
            <w:r w:rsidRPr="00E21CDC">
              <w:rPr>
                <w:rFonts w:ascii="Arial" w:hAnsi="Arial" w:cs="Arial"/>
                <w:b/>
                <w:bCs/>
                <w:sz w:val="24"/>
                <w:szCs w:val="24"/>
              </w:rPr>
              <w:t>New indicators</w:t>
            </w:r>
          </w:p>
        </w:tc>
      </w:tr>
      <w:tr w:rsidR="00645A76" w:rsidTr="00896462">
        <w:trPr>
          <w:trHeight w:val="255"/>
        </w:trPr>
        <w:tc>
          <w:tcPr>
            <w:tcW w:w="1149" w:type="dxa"/>
            <w:tcBorders>
              <w:top w:val="single" w:sz="4" w:space="0" w:color="auto"/>
              <w:left w:val="single" w:sz="4" w:space="0" w:color="auto"/>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Area</w:t>
            </w:r>
          </w:p>
        </w:tc>
        <w:tc>
          <w:tcPr>
            <w:tcW w:w="851" w:type="dxa"/>
            <w:tcBorders>
              <w:top w:val="single" w:sz="4" w:space="0" w:color="auto"/>
              <w:left w:val="nil"/>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ID</w:t>
            </w:r>
          </w:p>
        </w:tc>
        <w:tc>
          <w:tcPr>
            <w:tcW w:w="4678" w:type="dxa"/>
            <w:tcBorders>
              <w:top w:val="single" w:sz="4" w:space="0" w:color="auto"/>
              <w:left w:val="nil"/>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Indicator wording</w:t>
            </w:r>
          </w:p>
        </w:tc>
        <w:tc>
          <w:tcPr>
            <w:tcW w:w="1417" w:type="dxa"/>
            <w:tcBorders>
              <w:top w:val="single" w:sz="4" w:space="0" w:color="auto"/>
              <w:left w:val="nil"/>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Thresholds</w:t>
            </w:r>
          </w:p>
        </w:tc>
        <w:tc>
          <w:tcPr>
            <w:tcW w:w="992" w:type="dxa"/>
            <w:tcBorders>
              <w:top w:val="single" w:sz="4" w:space="0" w:color="auto"/>
              <w:left w:val="nil"/>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Points</w:t>
            </w:r>
          </w:p>
        </w:tc>
      </w:tr>
      <w:tr w:rsidR="00645A76" w:rsidTr="00896462">
        <w:trPr>
          <w:trHeight w:val="765"/>
        </w:trPr>
        <w:tc>
          <w:tcPr>
            <w:tcW w:w="1149"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Diabetes Mellitus</w:t>
            </w:r>
          </w:p>
        </w:tc>
        <w:tc>
          <w:tcPr>
            <w:tcW w:w="851"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 xml:space="preserve">NM27 </w:t>
            </w:r>
          </w:p>
        </w:tc>
        <w:tc>
          <w:tcPr>
            <w:tcW w:w="4678"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 xml:space="preserve">The percentage of patients newly diagnosed with diabetes in the preceding 1 April to 31 March who have a record of being referred to a structured education programme within 9 months of entry on to the diabetes register </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11</w:t>
            </w:r>
          </w:p>
        </w:tc>
      </w:tr>
      <w:tr w:rsidR="00645A76" w:rsidTr="00896462">
        <w:trPr>
          <w:trHeight w:val="510"/>
        </w:trPr>
        <w:tc>
          <w:tcPr>
            <w:tcW w:w="1149"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Diabetes Mellitus</w:t>
            </w:r>
          </w:p>
        </w:tc>
        <w:tc>
          <w:tcPr>
            <w:tcW w:w="851"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 xml:space="preserve">NM28 </w:t>
            </w:r>
          </w:p>
        </w:tc>
        <w:tc>
          <w:tcPr>
            <w:tcW w:w="4678"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 xml:space="preserve">The percentage of patients with diabetes who have a record of a dietary review by a suitably competent professional in the preceding 15 months </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3</w:t>
            </w:r>
          </w:p>
        </w:tc>
      </w:tr>
      <w:tr w:rsidR="00645A76" w:rsidTr="00896462">
        <w:trPr>
          <w:trHeight w:val="765"/>
        </w:trPr>
        <w:tc>
          <w:tcPr>
            <w:tcW w:w="1149"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COPD</w:t>
            </w:r>
          </w:p>
        </w:tc>
        <w:tc>
          <w:tcPr>
            <w:tcW w:w="851"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NM46</w:t>
            </w:r>
          </w:p>
        </w:tc>
        <w:tc>
          <w:tcPr>
            <w:tcW w:w="4678"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percentage of patients with COPD and Medical Research Council (MRC) Dyspnoea Scale ≥3 at any time in the preceding 15 months, with a record of oxygen saturation value within the preceding 15 months</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w:t>
            </w:r>
          </w:p>
        </w:tc>
      </w:tr>
      <w:tr w:rsidR="00645A76" w:rsidTr="00896462">
        <w:trPr>
          <w:trHeight w:val="765"/>
        </w:trPr>
        <w:tc>
          <w:tcPr>
            <w:tcW w:w="1149"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COPD</w:t>
            </w:r>
          </w:p>
        </w:tc>
        <w:tc>
          <w:tcPr>
            <w:tcW w:w="851"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NM47</w:t>
            </w:r>
          </w:p>
        </w:tc>
        <w:tc>
          <w:tcPr>
            <w:tcW w:w="4678"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percentage of patients with COPD and Medical Research Council (MRC) Dyspnoea Scale ≥3 at any time in the preceding 15 months, with a subsequent record of an offer of referral to a pulmonary rehabilitation programme</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w:t>
            </w:r>
          </w:p>
        </w:tc>
      </w:tr>
      <w:tr w:rsidR="00645A76" w:rsidTr="00896462">
        <w:trPr>
          <w:trHeight w:val="510"/>
        </w:trPr>
        <w:tc>
          <w:tcPr>
            <w:tcW w:w="1149"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Diabetes Mellitus</w:t>
            </w:r>
          </w:p>
        </w:tc>
        <w:tc>
          <w:tcPr>
            <w:tcW w:w="851"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NM51</w:t>
            </w:r>
          </w:p>
        </w:tc>
        <w:tc>
          <w:tcPr>
            <w:tcW w:w="4678"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percentage of male patients with diabetes with a record of being asked about erectile dysfunction in the preceding 15 months</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w:t>
            </w:r>
          </w:p>
        </w:tc>
      </w:tr>
      <w:tr w:rsidR="00645A76" w:rsidTr="00896462">
        <w:trPr>
          <w:trHeight w:val="765"/>
        </w:trPr>
        <w:tc>
          <w:tcPr>
            <w:tcW w:w="1149" w:type="dxa"/>
            <w:tcBorders>
              <w:top w:val="single" w:sz="4" w:space="0" w:color="auto"/>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Diabetes Mellitus</w:t>
            </w:r>
          </w:p>
        </w:tc>
        <w:tc>
          <w:tcPr>
            <w:tcW w:w="851"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NM52</w:t>
            </w:r>
          </w:p>
        </w:tc>
        <w:tc>
          <w:tcPr>
            <w:tcW w:w="4678"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percentage of male patients with diabetes who have a record of erectile dysfunction with a record of advice and assessment of contributory factors and treatment options in the preceding 15 months</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6</w:t>
            </w:r>
          </w:p>
        </w:tc>
      </w:tr>
      <w:tr w:rsidR="00645A76" w:rsidTr="00896462">
        <w:trPr>
          <w:trHeight w:val="510"/>
        </w:trPr>
        <w:tc>
          <w:tcPr>
            <w:tcW w:w="1149" w:type="dxa"/>
            <w:tcBorders>
              <w:top w:val="single" w:sz="4" w:space="0" w:color="auto"/>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Rheumatoid Arthritis</w:t>
            </w:r>
          </w:p>
        </w:tc>
        <w:tc>
          <w:tcPr>
            <w:tcW w:w="851" w:type="dxa"/>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NM55</w:t>
            </w:r>
          </w:p>
        </w:tc>
        <w:tc>
          <w:tcPr>
            <w:tcW w:w="4678" w:type="dxa"/>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practice can produce a register of all patients aged 16 years and over with rheumatoid arthritis</w:t>
            </w:r>
          </w:p>
        </w:tc>
        <w:tc>
          <w:tcPr>
            <w:tcW w:w="1417" w:type="dxa"/>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N/A</w:t>
            </w:r>
          </w:p>
        </w:tc>
        <w:tc>
          <w:tcPr>
            <w:tcW w:w="992" w:type="dxa"/>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1</w:t>
            </w:r>
          </w:p>
        </w:tc>
      </w:tr>
      <w:tr w:rsidR="00645A76" w:rsidTr="00896462">
        <w:trPr>
          <w:trHeight w:val="765"/>
        </w:trPr>
        <w:tc>
          <w:tcPr>
            <w:tcW w:w="1149"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Rheumatoid Arthritis</w:t>
            </w:r>
          </w:p>
        </w:tc>
        <w:tc>
          <w:tcPr>
            <w:tcW w:w="851"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NM56</w:t>
            </w:r>
          </w:p>
        </w:tc>
        <w:tc>
          <w:tcPr>
            <w:tcW w:w="4678"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percentage of patients with rheumatoid arthritis aged 30-84 years who have had a cardiovascular risk assessment using a CVD risk assessment tool adjusted for RA in the preceding 15 months</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7</w:t>
            </w:r>
          </w:p>
        </w:tc>
      </w:tr>
      <w:tr w:rsidR="00645A76" w:rsidTr="00896462">
        <w:trPr>
          <w:trHeight w:val="765"/>
        </w:trPr>
        <w:tc>
          <w:tcPr>
            <w:tcW w:w="1149"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Rheumatoid Arthritis</w:t>
            </w:r>
          </w:p>
        </w:tc>
        <w:tc>
          <w:tcPr>
            <w:tcW w:w="851"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NM57</w:t>
            </w:r>
          </w:p>
        </w:tc>
        <w:tc>
          <w:tcPr>
            <w:tcW w:w="4678"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percentage of patients aged 50-90 years with rheumatoid arthritis who have had an assessment of fracture risk using a risk assessment tool adjusted for RA in the preceding 27 months</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w:t>
            </w:r>
          </w:p>
        </w:tc>
      </w:tr>
      <w:tr w:rsidR="00645A76" w:rsidTr="00896462">
        <w:trPr>
          <w:trHeight w:val="510"/>
        </w:trPr>
        <w:tc>
          <w:tcPr>
            <w:tcW w:w="1149"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Rheumatoid Arthritis</w:t>
            </w:r>
          </w:p>
        </w:tc>
        <w:tc>
          <w:tcPr>
            <w:tcW w:w="851"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NM58</w:t>
            </w:r>
          </w:p>
        </w:tc>
        <w:tc>
          <w:tcPr>
            <w:tcW w:w="4678"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percentage of patients with rheumatoid arthritis who have had a face to face annual review in the preceding 15 months</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w:t>
            </w:r>
          </w:p>
        </w:tc>
      </w:tr>
      <w:tr w:rsidR="00645A76" w:rsidTr="00896462">
        <w:trPr>
          <w:trHeight w:val="274"/>
        </w:trPr>
        <w:tc>
          <w:tcPr>
            <w:tcW w:w="6678" w:type="dxa"/>
            <w:gridSpan w:val="3"/>
            <w:tcBorders>
              <w:top w:val="nil"/>
              <w:left w:val="single" w:sz="4" w:space="0" w:color="auto"/>
              <w:bottom w:val="single" w:sz="4" w:space="0" w:color="auto"/>
              <w:right w:val="single" w:sz="4" w:space="0" w:color="auto"/>
            </w:tcBorders>
          </w:tcPr>
          <w:p w:rsidR="00645A76" w:rsidRPr="00C52C6B" w:rsidRDefault="00645A76" w:rsidP="00896462">
            <w:pPr>
              <w:rPr>
                <w:rFonts w:ascii="Arial" w:hAnsi="Arial" w:cs="Arial"/>
                <w:b/>
                <w:color w:val="000000"/>
              </w:rPr>
            </w:pPr>
            <w:r>
              <w:rPr>
                <w:rFonts w:ascii="Arial" w:hAnsi="Arial" w:cs="Arial"/>
                <w:b/>
                <w:color w:val="000000"/>
              </w:rPr>
              <w:t>Total points new indicators</w:t>
            </w:r>
          </w:p>
        </w:tc>
        <w:tc>
          <w:tcPr>
            <w:tcW w:w="1417"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p>
        </w:tc>
        <w:tc>
          <w:tcPr>
            <w:tcW w:w="992" w:type="dxa"/>
            <w:tcBorders>
              <w:top w:val="nil"/>
              <w:left w:val="nil"/>
              <w:bottom w:val="single" w:sz="4" w:space="0" w:color="auto"/>
              <w:right w:val="single" w:sz="4" w:space="0" w:color="auto"/>
            </w:tcBorders>
          </w:tcPr>
          <w:p w:rsidR="00645A76" w:rsidRPr="003E34CD" w:rsidRDefault="00645A76" w:rsidP="00896462">
            <w:pPr>
              <w:jc w:val="center"/>
              <w:rPr>
                <w:rFonts w:ascii="Arial" w:hAnsi="Arial" w:cs="Arial"/>
                <w:b/>
              </w:rPr>
            </w:pPr>
            <w:r>
              <w:rPr>
                <w:rFonts w:ascii="Arial" w:hAnsi="Arial" w:cs="Arial"/>
                <w:b/>
              </w:rPr>
              <w:t>52</w:t>
            </w:r>
          </w:p>
        </w:tc>
      </w:tr>
    </w:tbl>
    <w:p w:rsidR="00645A76" w:rsidRDefault="00645A76" w:rsidP="00645A76"/>
    <w:tbl>
      <w:tblPr>
        <w:tblW w:w="9654" w:type="dxa"/>
        <w:tblInd w:w="93" w:type="dxa"/>
        <w:tblLayout w:type="fixed"/>
        <w:tblLook w:val="0000" w:firstRow="0" w:lastRow="0" w:firstColumn="0" w:lastColumn="0" w:noHBand="0" w:noVBand="0"/>
      </w:tblPr>
      <w:tblGrid>
        <w:gridCol w:w="1290"/>
        <w:gridCol w:w="143"/>
        <w:gridCol w:w="73"/>
        <w:gridCol w:w="634"/>
        <w:gridCol w:w="285"/>
        <w:gridCol w:w="850"/>
        <w:gridCol w:w="3969"/>
        <w:gridCol w:w="1418"/>
        <w:gridCol w:w="425"/>
        <w:gridCol w:w="19"/>
        <w:gridCol w:w="548"/>
      </w:tblGrid>
      <w:tr w:rsidR="00645A76" w:rsidTr="00896462">
        <w:trPr>
          <w:trHeight w:val="315"/>
        </w:trPr>
        <w:tc>
          <w:tcPr>
            <w:tcW w:w="3275" w:type="dxa"/>
            <w:gridSpan w:val="6"/>
            <w:tcBorders>
              <w:top w:val="nil"/>
              <w:left w:val="nil"/>
              <w:bottom w:val="nil"/>
              <w:right w:val="nil"/>
            </w:tcBorders>
            <w:noWrap/>
            <w:vAlign w:val="bottom"/>
          </w:tcPr>
          <w:p w:rsidR="00645A76" w:rsidRDefault="00645A76" w:rsidP="00896462">
            <w:r>
              <w:br w:type="page"/>
            </w:r>
          </w:p>
          <w:p w:rsidR="00645A76" w:rsidRDefault="00645A76" w:rsidP="00896462"/>
          <w:p w:rsidR="00645A76" w:rsidRDefault="00645A76" w:rsidP="00896462"/>
          <w:p w:rsidR="00645A76" w:rsidRDefault="00645A76" w:rsidP="00896462"/>
          <w:p w:rsidR="00645A76" w:rsidRDefault="00645A76" w:rsidP="00896462"/>
          <w:p w:rsidR="00645A76" w:rsidRDefault="00645A76" w:rsidP="00896462"/>
          <w:p w:rsidR="00645A76" w:rsidRDefault="00645A76" w:rsidP="00896462"/>
          <w:p w:rsidR="00645A76" w:rsidRDefault="00645A76" w:rsidP="00896462"/>
          <w:p w:rsidR="00645A76" w:rsidRDefault="00645A76" w:rsidP="00896462"/>
          <w:p w:rsidR="00645A76" w:rsidRDefault="00645A76" w:rsidP="00896462"/>
          <w:p w:rsidR="00645A76" w:rsidRDefault="00645A76" w:rsidP="00896462"/>
          <w:p w:rsidR="00645A76" w:rsidRDefault="00645A76" w:rsidP="00896462"/>
          <w:p w:rsidR="00645A76" w:rsidRDefault="00645A76" w:rsidP="00896462"/>
          <w:p w:rsidR="00645A76" w:rsidRDefault="00645A76" w:rsidP="00896462"/>
          <w:p w:rsidR="00645A76" w:rsidRPr="00E21CDC" w:rsidRDefault="00645A76" w:rsidP="00896462">
            <w:pPr>
              <w:rPr>
                <w:rFonts w:ascii="Arial" w:hAnsi="Arial" w:cs="Arial"/>
                <w:b/>
                <w:bCs/>
                <w:sz w:val="24"/>
                <w:szCs w:val="24"/>
              </w:rPr>
            </w:pPr>
            <w:r>
              <w:lastRenderedPageBreak/>
              <w:br w:type="page"/>
            </w:r>
            <w:r w:rsidRPr="00E21CDC">
              <w:rPr>
                <w:rFonts w:ascii="Arial" w:hAnsi="Arial" w:cs="Arial"/>
                <w:b/>
                <w:bCs/>
                <w:sz w:val="24"/>
                <w:szCs w:val="24"/>
              </w:rPr>
              <w:t>Replacement indicators</w:t>
            </w:r>
          </w:p>
        </w:tc>
        <w:tc>
          <w:tcPr>
            <w:tcW w:w="3969" w:type="dxa"/>
            <w:tcBorders>
              <w:top w:val="nil"/>
              <w:left w:val="nil"/>
              <w:bottom w:val="nil"/>
              <w:right w:val="nil"/>
            </w:tcBorders>
            <w:noWrap/>
            <w:vAlign w:val="bottom"/>
          </w:tcPr>
          <w:p w:rsidR="00645A76" w:rsidRPr="00E21CDC" w:rsidRDefault="00645A76" w:rsidP="00896462">
            <w:pPr>
              <w:rPr>
                <w:rFonts w:ascii="Arial" w:hAnsi="Arial" w:cs="Arial"/>
              </w:rPr>
            </w:pPr>
          </w:p>
        </w:tc>
        <w:tc>
          <w:tcPr>
            <w:tcW w:w="1418" w:type="dxa"/>
            <w:tcBorders>
              <w:top w:val="nil"/>
              <w:left w:val="nil"/>
              <w:bottom w:val="nil"/>
              <w:right w:val="nil"/>
            </w:tcBorders>
            <w:noWrap/>
            <w:vAlign w:val="bottom"/>
          </w:tcPr>
          <w:p w:rsidR="00645A76" w:rsidRPr="00E21CDC" w:rsidRDefault="00645A76" w:rsidP="00896462">
            <w:pPr>
              <w:rPr>
                <w:rFonts w:ascii="Arial" w:hAnsi="Arial" w:cs="Arial"/>
              </w:rPr>
            </w:pPr>
          </w:p>
        </w:tc>
        <w:tc>
          <w:tcPr>
            <w:tcW w:w="992" w:type="dxa"/>
            <w:gridSpan w:val="3"/>
            <w:tcBorders>
              <w:top w:val="nil"/>
              <w:left w:val="nil"/>
              <w:bottom w:val="nil"/>
              <w:right w:val="nil"/>
            </w:tcBorders>
            <w:noWrap/>
            <w:vAlign w:val="bottom"/>
          </w:tcPr>
          <w:p w:rsidR="00645A76" w:rsidRPr="00E21CDC" w:rsidRDefault="00645A76" w:rsidP="00896462">
            <w:pPr>
              <w:rPr>
                <w:rFonts w:ascii="Arial" w:hAnsi="Arial" w:cs="Arial"/>
              </w:rPr>
            </w:pPr>
          </w:p>
        </w:tc>
      </w:tr>
      <w:tr w:rsidR="00645A76" w:rsidTr="00896462">
        <w:trPr>
          <w:trHeight w:val="255"/>
        </w:trPr>
        <w:tc>
          <w:tcPr>
            <w:tcW w:w="1290" w:type="dxa"/>
            <w:tcBorders>
              <w:top w:val="single" w:sz="4" w:space="0" w:color="auto"/>
              <w:left w:val="single" w:sz="4" w:space="0" w:color="auto"/>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lastRenderedPageBreak/>
              <w:t>Area</w:t>
            </w:r>
          </w:p>
        </w:tc>
        <w:tc>
          <w:tcPr>
            <w:tcW w:w="850" w:type="dxa"/>
            <w:gridSpan w:val="3"/>
            <w:tcBorders>
              <w:top w:val="single" w:sz="4" w:space="0" w:color="auto"/>
              <w:left w:val="nil"/>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ID</w:t>
            </w:r>
          </w:p>
        </w:tc>
        <w:tc>
          <w:tcPr>
            <w:tcW w:w="1135" w:type="dxa"/>
            <w:gridSpan w:val="2"/>
            <w:tcBorders>
              <w:top w:val="single" w:sz="4" w:space="0" w:color="auto"/>
              <w:left w:val="nil"/>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Replac</w:t>
            </w:r>
            <w:r>
              <w:rPr>
                <w:rFonts w:ascii="Arial" w:hAnsi="Arial" w:cs="Arial"/>
                <w:b/>
                <w:bCs/>
              </w:rPr>
              <w:t>e</w:t>
            </w:r>
          </w:p>
        </w:tc>
        <w:tc>
          <w:tcPr>
            <w:tcW w:w="3969" w:type="dxa"/>
            <w:tcBorders>
              <w:top w:val="single" w:sz="4" w:space="0" w:color="auto"/>
              <w:left w:val="nil"/>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Indicator wording</w:t>
            </w:r>
          </w:p>
        </w:tc>
        <w:tc>
          <w:tcPr>
            <w:tcW w:w="1418" w:type="dxa"/>
            <w:tcBorders>
              <w:top w:val="single" w:sz="4" w:space="0" w:color="auto"/>
              <w:left w:val="nil"/>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Thresholds</w:t>
            </w:r>
          </w:p>
        </w:tc>
        <w:tc>
          <w:tcPr>
            <w:tcW w:w="992" w:type="dxa"/>
            <w:gridSpan w:val="3"/>
            <w:tcBorders>
              <w:top w:val="single" w:sz="4" w:space="0" w:color="auto"/>
              <w:left w:val="nil"/>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Points</w:t>
            </w:r>
          </w:p>
        </w:tc>
      </w:tr>
      <w:tr w:rsidR="00645A76" w:rsidTr="00896462">
        <w:trPr>
          <w:trHeight w:val="3483"/>
        </w:trPr>
        <w:tc>
          <w:tcPr>
            <w:tcW w:w="1290"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CVD Primary Prevention</w:t>
            </w:r>
          </w:p>
        </w:tc>
        <w:tc>
          <w:tcPr>
            <w:tcW w:w="850" w:type="dxa"/>
            <w:gridSpan w:val="3"/>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NM26</w:t>
            </w:r>
          </w:p>
        </w:tc>
        <w:tc>
          <w:tcPr>
            <w:tcW w:w="1135" w:type="dxa"/>
            <w:gridSpan w:val="2"/>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PP1</w:t>
            </w:r>
          </w:p>
        </w:tc>
        <w:tc>
          <w:tcPr>
            <w:tcW w:w="3969"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In those patients with a new diagnosis of hypertension aged 30-74 years, recorded between the preceding 1 April to 31 March (excluding those with pre-existing CHD, diabetes, stroke and/or TIA), who have a recorded CVD risk assessment score (using an agreed risk assessment tool) of ≥20% in the preceding 15 months: the percentage who are currently treated with statins (unless there is a contraindication)</w:t>
            </w:r>
          </w:p>
        </w:tc>
        <w:tc>
          <w:tcPr>
            <w:tcW w:w="1418"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gridSpan w:val="3"/>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1</w:t>
            </w:r>
            <w:r>
              <w:rPr>
                <w:rFonts w:ascii="Arial" w:hAnsi="Arial" w:cs="Arial"/>
              </w:rPr>
              <w:t>0</w:t>
            </w:r>
          </w:p>
        </w:tc>
      </w:tr>
      <w:tr w:rsidR="00645A76" w:rsidTr="00896462">
        <w:trPr>
          <w:trHeight w:val="825"/>
        </w:trPr>
        <w:tc>
          <w:tcPr>
            <w:tcW w:w="1290" w:type="dxa"/>
            <w:tcBorders>
              <w:top w:val="single" w:sz="4" w:space="0" w:color="auto"/>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Cancer</w:t>
            </w:r>
          </w:p>
        </w:tc>
        <w:tc>
          <w:tcPr>
            <w:tcW w:w="850" w:type="dxa"/>
            <w:gridSpan w:val="3"/>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NM45</w:t>
            </w:r>
          </w:p>
        </w:tc>
        <w:tc>
          <w:tcPr>
            <w:tcW w:w="1135" w:type="dxa"/>
            <w:gridSpan w:val="2"/>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Cancer 3</w:t>
            </w:r>
          </w:p>
        </w:tc>
        <w:tc>
          <w:tcPr>
            <w:tcW w:w="3969" w:type="dxa"/>
            <w:tcBorders>
              <w:top w:val="single" w:sz="4" w:space="0" w:color="auto"/>
              <w:left w:val="nil"/>
              <w:bottom w:val="single" w:sz="4" w:space="0" w:color="auto"/>
              <w:right w:val="single" w:sz="4" w:space="0" w:color="auto"/>
            </w:tcBorders>
            <w:vAlign w:val="bottom"/>
          </w:tcPr>
          <w:p w:rsidR="00645A76" w:rsidRPr="00E21CDC" w:rsidRDefault="00645A76" w:rsidP="00896462">
            <w:pPr>
              <w:rPr>
                <w:rFonts w:ascii="Arial" w:hAnsi="Arial" w:cs="Arial"/>
              </w:rPr>
            </w:pPr>
            <w:r w:rsidRPr="00E21CDC">
              <w:rPr>
                <w:rFonts w:ascii="Arial" w:hAnsi="Arial" w:cs="Arial"/>
              </w:rPr>
              <w:t>The percentage of patients with cancer diagnosed within the preceding 15 months who have a review recorded as occurring within 3 months of the practice receiving confirmation of the diagnosis</w:t>
            </w:r>
          </w:p>
        </w:tc>
        <w:tc>
          <w:tcPr>
            <w:tcW w:w="1418" w:type="dxa"/>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50-90</w:t>
            </w:r>
          </w:p>
        </w:tc>
        <w:tc>
          <w:tcPr>
            <w:tcW w:w="992" w:type="dxa"/>
            <w:gridSpan w:val="3"/>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6</w:t>
            </w:r>
          </w:p>
        </w:tc>
      </w:tr>
      <w:tr w:rsidR="00645A76" w:rsidTr="00896462">
        <w:trPr>
          <w:trHeight w:val="765"/>
        </w:trPr>
        <w:tc>
          <w:tcPr>
            <w:tcW w:w="1290" w:type="dxa"/>
            <w:tcBorders>
              <w:top w:val="single" w:sz="4" w:space="0" w:color="auto"/>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Depression</w:t>
            </w:r>
          </w:p>
        </w:tc>
        <w:tc>
          <w:tcPr>
            <w:tcW w:w="850" w:type="dxa"/>
            <w:gridSpan w:val="3"/>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NM49</w:t>
            </w:r>
          </w:p>
        </w:tc>
        <w:tc>
          <w:tcPr>
            <w:tcW w:w="1135" w:type="dxa"/>
            <w:gridSpan w:val="2"/>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DEP 1&amp;6</w:t>
            </w:r>
          </w:p>
        </w:tc>
        <w:tc>
          <w:tcPr>
            <w:tcW w:w="3969" w:type="dxa"/>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percentage of patients with a new diagnosis of depression in the preceding 1st April to 31st March who have had a bio-psychosocial assessment by the point of diagnosis</w:t>
            </w:r>
          </w:p>
        </w:tc>
        <w:tc>
          <w:tcPr>
            <w:tcW w:w="1418" w:type="dxa"/>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50-90</w:t>
            </w:r>
          </w:p>
        </w:tc>
        <w:tc>
          <w:tcPr>
            <w:tcW w:w="992" w:type="dxa"/>
            <w:gridSpan w:val="3"/>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21</w:t>
            </w:r>
          </w:p>
        </w:tc>
      </w:tr>
      <w:tr w:rsidR="00645A76" w:rsidTr="00896462">
        <w:trPr>
          <w:trHeight w:val="510"/>
        </w:trPr>
        <w:tc>
          <w:tcPr>
            <w:tcW w:w="1290"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Depression</w:t>
            </w:r>
          </w:p>
        </w:tc>
        <w:tc>
          <w:tcPr>
            <w:tcW w:w="850" w:type="dxa"/>
            <w:gridSpan w:val="3"/>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NM50</w:t>
            </w:r>
          </w:p>
        </w:tc>
        <w:tc>
          <w:tcPr>
            <w:tcW w:w="1135" w:type="dxa"/>
            <w:gridSpan w:val="2"/>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DEP 7</w:t>
            </w:r>
          </w:p>
        </w:tc>
        <w:tc>
          <w:tcPr>
            <w:tcW w:w="3969" w:type="dxa"/>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The percentage of patients with a new diagnosis of depression (in the preceding 1 April to 31 March) who have been reviewed within 10-35 days of the date of diagnosis</w:t>
            </w:r>
          </w:p>
        </w:tc>
        <w:tc>
          <w:tcPr>
            <w:tcW w:w="1418"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45-80</w:t>
            </w:r>
          </w:p>
        </w:tc>
        <w:tc>
          <w:tcPr>
            <w:tcW w:w="992" w:type="dxa"/>
            <w:gridSpan w:val="3"/>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10</w:t>
            </w:r>
          </w:p>
        </w:tc>
      </w:tr>
      <w:tr w:rsidR="00645A76" w:rsidTr="00896462">
        <w:trPr>
          <w:trHeight w:val="510"/>
        </w:trPr>
        <w:tc>
          <w:tcPr>
            <w:tcW w:w="1290"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Diabetes Mellitus</w:t>
            </w:r>
          </w:p>
        </w:tc>
        <w:tc>
          <w:tcPr>
            <w:tcW w:w="850" w:type="dxa"/>
            <w:gridSpan w:val="3"/>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NM59</w:t>
            </w:r>
          </w:p>
        </w:tc>
        <w:tc>
          <w:tcPr>
            <w:tcW w:w="1135" w:type="dxa"/>
            <w:gridSpan w:val="2"/>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DM13</w:t>
            </w:r>
          </w:p>
        </w:tc>
        <w:tc>
          <w:tcPr>
            <w:tcW w:w="3969" w:type="dxa"/>
            <w:tcBorders>
              <w:top w:val="nil"/>
              <w:left w:val="nil"/>
              <w:bottom w:val="single" w:sz="4" w:space="0" w:color="auto"/>
              <w:right w:val="single" w:sz="4" w:space="0" w:color="auto"/>
            </w:tcBorders>
            <w:vAlign w:val="bottom"/>
          </w:tcPr>
          <w:p w:rsidR="00645A76" w:rsidRPr="00E21CDC" w:rsidRDefault="00645A76" w:rsidP="00896462">
            <w:pPr>
              <w:rPr>
                <w:rFonts w:ascii="Arial" w:hAnsi="Arial" w:cs="Arial"/>
              </w:rPr>
            </w:pPr>
            <w:r w:rsidRPr="00E21CDC">
              <w:rPr>
                <w:rFonts w:ascii="Arial" w:hAnsi="Arial" w:cs="Arial"/>
              </w:rPr>
              <w:t>The percentage of patients with diabetes who have a record of a urine albumin:creatinine ratio test in the preceding 15 months</w:t>
            </w:r>
          </w:p>
        </w:tc>
        <w:tc>
          <w:tcPr>
            <w:tcW w:w="1418"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50-90</w:t>
            </w:r>
          </w:p>
        </w:tc>
        <w:tc>
          <w:tcPr>
            <w:tcW w:w="992" w:type="dxa"/>
            <w:gridSpan w:val="3"/>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3</w:t>
            </w:r>
          </w:p>
        </w:tc>
      </w:tr>
      <w:tr w:rsidR="00645A76" w:rsidTr="00896462">
        <w:trPr>
          <w:trHeight w:val="765"/>
        </w:trPr>
        <w:tc>
          <w:tcPr>
            <w:tcW w:w="1290"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Stroke</w:t>
            </w:r>
          </w:p>
        </w:tc>
        <w:tc>
          <w:tcPr>
            <w:tcW w:w="850" w:type="dxa"/>
            <w:gridSpan w:val="3"/>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NM60</w:t>
            </w:r>
          </w:p>
        </w:tc>
        <w:tc>
          <w:tcPr>
            <w:tcW w:w="1135" w:type="dxa"/>
            <w:gridSpan w:val="2"/>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Stroke 8</w:t>
            </w:r>
          </w:p>
        </w:tc>
        <w:tc>
          <w:tcPr>
            <w:tcW w:w="3969" w:type="dxa"/>
            <w:tcBorders>
              <w:top w:val="nil"/>
              <w:left w:val="nil"/>
              <w:bottom w:val="single" w:sz="4" w:space="0" w:color="auto"/>
              <w:right w:val="single" w:sz="4" w:space="0" w:color="auto"/>
            </w:tcBorders>
            <w:vAlign w:val="bottom"/>
          </w:tcPr>
          <w:p w:rsidR="00645A76" w:rsidRPr="00E21CDC" w:rsidRDefault="00645A76" w:rsidP="00896462">
            <w:pPr>
              <w:rPr>
                <w:rFonts w:ascii="Arial" w:hAnsi="Arial" w:cs="Arial"/>
                <w:color w:val="000000"/>
              </w:rPr>
            </w:pPr>
            <w:r w:rsidRPr="00E21CDC">
              <w:rPr>
                <w:rFonts w:ascii="Arial" w:hAnsi="Arial" w:cs="Arial"/>
                <w:color w:val="000000"/>
              </w:rPr>
              <w:t>The percentage of patients with a stroke shown to be non- haemorrhagic, or a history of TIA whose last measured total cholesterol (measured in thepreceding 15 months) is 5mmol/l or less</w:t>
            </w:r>
          </w:p>
        </w:tc>
        <w:tc>
          <w:tcPr>
            <w:tcW w:w="1418"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40-65</w:t>
            </w:r>
          </w:p>
        </w:tc>
        <w:tc>
          <w:tcPr>
            <w:tcW w:w="992" w:type="dxa"/>
            <w:gridSpan w:val="3"/>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w:t>
            </w:r>
          </w:p>
        </w:tc>
      </w:tr>
      <w:tr w:rsidR="00645A76" w:rsidTr="00896462">
        <w:trPr>
          <w:trHeight w:val="510"/>
        </w:trPr>
        <w:tc>
          <w:tcPr>
            <w:tcW w:w="1290"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Blood pressure</w:t>
            </w:r>
          </w:p>
        </w:tc>
        <w:tc>
          <w:tcPr>
            <w:tcW w:w="850" w:type="dxa"/>
            <w:gridSpan w:val="3"/>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NM61</w:t>
            </w:r>
          </w:p>
        </w:tc>
        <w:tc>
          <w:tcPr>
            <w:tcW w:w="1135" w:type="dxa"/>
            <w:gridSpan w:val="2"/>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Records 11&amp; 17</w:t>
            </w:r>
          </w:p>
        </w:tc>
        <w:tc>
          <w:tcPr>
            <w:tcW w:w="3969" w:type="dxa"/>
            <w:tcBorders>
              <w:top w:val="nil"/>
              <w:left w:val="nil"/>
              <w:bottom w:val="single" w:sz="4" w:space="0" w:color="auto"/>
              <w:right w:val="single" w:sz="4" w:space="0" w:color="auto"/>
            </w:tcBorders>
            <w:vAlign w:val="bottom"/>
          </w:tcPr>
          <w:p w:rsidR="00645A76" w:rsidRPr="00E21CDC" w:rsidRDefault="00645A76" w:rsidP="00896462">
            <w:pPr>
              <w:rPr>
                <w:rFonts w:ascii="Arial" w:hAnsi="Arial" w:cs="Arial"/>
              </w:rPr>
            </w:pPr>
            <w:r w:rsidRPr="00E21CDC">
              <w:rPr>
                <w:rFonts w:ascii="Arial" w:hAnsi="Arial" w:cs="Arial"/>
              </w:rPr>
              <w:t>The percentage of patients aged 40 years and over with a blood pressure measurement recorded in the preceding 5 years</w:t>
            </w:r>
          </w:p>
        </w:tc>
        <w:tc>
          <w:tcPr>
            <w:tcW w:w="1418"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50-90</w:t>
            </w:r>
          </w:p>
        </w:tc>
        <w:tc>
          <w:tcPr>
            <w:tcW w:w="992" w:type="dxa"/>
            <w:gridSpan w:val="3"/>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1</w:t>
            </w:r>
            <w:r>
              <w:rPr>
                <w:rFonts w:ascii="Arial" w:hAnsi="Arial" w:cs="Arial"/>
              </w:rPr>
              <w:t>5</w:t>
            </w:r>
          </w:p>
        </w:tc>
      </w:tr>
      <w:tr w:rsidR="00645A76" w:rsidTr="00896462">
        <w:trPr>
          <w:trHeight w:val="600"/>
        </w:trPr>
        <w:tc>
          <w:tcPr>
            <w:tcW w:w="1290" w:type="dxa"/>
            <w:tcBorders>
              <w:top w:val="single" w:sz="4" w:space="0" w:color="auto"/>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Diabetes Mellitus</w:t>
            </w:r>
          </w:p>
        </w:tc>
        <w:tc>
          <w:tcPr>
            <w:tcW w:w="850" w:type="dxa"/>
            <w:gridSpan w:val="3"/>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NA</w:t>
            </w:r>
          </w:p>
        </w:tc>
        <w:tc>
          <w:tcPr>
            <w:tcW w:w="1135" w:type="dxa"/>
            <w:gridSpan w:val="2"/>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DM15</w:t>
            </w:r>
          </w:p>
        </w:tc>
        <w:tc>
          <w:tcPr>
            <w:tcW w:w="3969" w:type="dxa"/>
            <w:tcBorders>
              <w:top w:val="single" w:sz="4" w:space="0" w:color="auto"/>
              <w:left w:val="nil"/>
              <w:bottom w:val="single" w:sz="4" w:space="0" w:color="auto"/>
              <w:right w:val="single" w:sz="4" w:space="0" w:color="auto"/>
            </w:tcBorders>
            <w:vAlign w:val="bottom"/>
          </w:tcPr>
          <w:p w:rsidR="00645A76" w:rsidRPr="00E21CDC" w:rsidRDefault="00645A76" w:rsidP="00896462">
            <w:pPr>
              <w:rPr>
                <w:rFonts w:ascii="Arial" w:hAnsi="Arial" w:cs="Arial"/>
              </w:rPr>
            </w:pPr>
            <w:r w:rsidRPr="00E21CDC">
              <w:rPr>
                <w:rFonts w:ascii="Arial" w:hAnsi="Arial" w:cs="Arial"/>
              </w:rPr>
              <w:t>The percentage of patients with diabetes with a diagnosis of nephropathy (clinical proteinuria) or micro-albuminuria who are treated with ACE inhibitors (or A2 antagonists)</w:t>
            </w:r>
          </w:p>
        </w:tc>
        <w:tc>
          <w:tcPr>
            <w:tcW w:w="1418" w:type="dxa"/>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57-97</w:t>
            </w:r>
          </w:p>
        </w:tc>
        <w:tc>
          <w:tcPr>
            <w:tcW w:w="992" w:type="dxa"/>
            <w:gridSpan w:val="3"/>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3</w:t>
            </w:r>
          </w:p>
        </w:tc>
      </w:tr>
      <w:tr w:rsidR="00645A76" w:rsidTr="00896462">
        <w:trPr>
          <w:trHeight w:val="765"/>
        </w:trPr>
        <w:tc>
          <w:tcPr>
            <w:tcW w:w="1290" w:type="dxa"/>
            <w:tcBorders>
              <w:top w:val="single" w:sz="4" w:space="0" w:color="auto"/>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CVD Primary Prevention</w:t>
            </w:r>
          </w:p>
        </w:tc>
        <w:tc>
          <w:tcPr>
            <w:tcW w:w="850" w:type="dxa"/>
            <w:gridSpan w:val="3"/>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NA</w:t>
            </w:r>
          </w:p>
        </w:tc>
        <w:tc>
          <w:tcPr>
            <w:tcW w:w="1135" w:type="dxa"/>
            <w:gridSpan w:val="2"/>
            <w:tcBorders>
              <w:top w:val="single" w:sz="4" w:space="0" w:color="auto"/>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CVD PP2</w:t>
            </w:r>
          </w:p>
        </w:tc>
        <w:tc>
          <w:tcPr>
            <w:tcW w:w="3969" w:type="dxa"/>
            <w:tcBorders>
              <w:top w:val="single" w:sz="4" w:space="0" w:color="auto"/>
              <w:left w:val="nil"/>
              <w:bottom w:val="single" w:sz="4" w:space="0" w:color="auto"/>
              <w:right w:val="single" w:sz="4" w:space="0" w:color="auto"/>
            </w:tcBorders>
            <w:vAlign w:val="bottom"/>
          </w:tcPr>
          <w:p w:rsidR="00645A76" w:rsidRPr="00E21CDC" w:rsidRDefault="00645A76" w:rsidP="00896462">
            <w:pPr>
              <w:rPr>
                <w:rFonts w:ascii="Arial" w:hAnsi="Arial" w:cs="Arial"/>
              </w:rPr>
            </w:pPr>
            <w:r w:rsidRPr="00E21CDC">
              <w:rPr>
                <w:rFonts w:ascii="Arial" w:hAnsi="Arial" w:cs="Arial"/>
              </w:rPr>
              <w:t>The percentage of people diagnosed with hypertension (diagnosed after 1 April 2009) who are given lifestyle advice in the preceding 15 months for: smoking cessation, safe alcohol consumption and healthy diet.</w:t>
            </w:r>
          </w:p>
        </w:tc>
        <w:tc>
          <w:tcPr>
            <w:tcW w:w="1418" w:type="dxa"/>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40-75</w:t>
            </w:r>
          </w:p>
        </w:tc>
        <w:tc>
          <w:tcPr>
            <w:tcW w:w="992" w:type="dxa"/>
            <w:gridSpan w:val="3"/>
            <w:tcBorders>
              <w:top w:val="single" w:sz="4" w:space="0" w:color="auto"/>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5</w:t>
            </w:r>
          </w:p>
        </w:tc>
      </w:tr>
      <w:tr w:rsidR="00645A76" w:rsidTr="00896462">
        <w:trPr>
          <w:trHeight w:val="765"/>
        </w:trPr>
        <w:tc>
          <w:tcPr>
            <w:tcW w:w="1290" w:type="dxa"/>
            <w:tcBorders>
              <w:top w:val="nil"/>
              <w:left w:val="single" w:sz="4" w:space="0" w:color="auto"/>
              <w:bottom w:val="single" w:sz="4" w:space="0" w:color="auto"/>
              <w:right w:val="single" w:sz="4" w:space="0" w:color="auto"/>
            </w:tcBorders>
          </w:tcPr>
          <w:p w:rsidR="00645A76" w:rsidRPr="00E21CDC" w:rsidRDefault="00645A76" w:rsidP="00896462">
            <w:pPr>
              <w:rPr>
                <w:rFonts w:ascii="Arial" w:hAnsi="Arial" w:cs="Arial"/>
              </w:rPr>
            </w:pPr>
            <w:r w:rsidRPr="00E21CDC">
              <w:rPr>
                <w:rFonts w:ascii="Arial" w:hAnsi="Arial" w:cs="Arial"/>
              </w:rPr>
              <w:t>Mental Health</w:t>
            </w:r>
          </w:p>
        </w:tc>
        <w:tc>
          <w:tcPr>
            <w:tcW w:w="850" w:type="dxa"/>
            <w:gridSpan w:val="3"/>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NA</w:t>
            </w:r>
          </w:p>
        </w:tc>
        <w:tc>
          <w:tcPr>
            <w:tcW w:w="1135" w:type="dxa"/>
            <w:gridSpan w:val="2"/>
            <w:tcBorders>
              <w:top w:val="nil"/>
              <w:left w:val="nil"/>
              <w:bottom w:val="single" w:sz="4" w:space="0" w:color="auto"/>
              <w:right w:val="single" w:sz="4" w:space="0" w:color="auto"/>
            </w:tcBorders>
          </w:tcPr>
          <w:p w:rsidR="00645A76" w:rsidRPr="00E21CDC" w:rsidRDefault="00645A76" w:rsidP="00896462">
            <w:pPr>
              <w:rPr>
                <w:rFonts w:ascii="Arial" w:hAnsi="Arial" w:cs="Arial"/>
                <w:color w:val="000000"/>
              </w:rPr>
            </w:pPr>
            <w:r w:rsidRPr="00E21CDC">
              <w:rPr>
                <w:rFonts w:ascii="Arial" w:hAnsi="Arial" w:cs="Arial"/>
                <w:color w:val="000000"/>
              </w:rPr>
              <w:t>MH10</w:t>
            </w:r>
          </w:p>
        </w:tc>
        <w:tc>
          <w:tcPr>
            <w:tcW w:w="3969" w:type="dxa"/>
            <w:tcBorders>
              <w:top w:val="nil"/>
              <w:left w:val="nil"/>
              <w:bottom w:val="single" w:sz="4" w:space="0" w:color="auto"/>
              <w:right w:val="single" w:sz="4" w:space="0" w:color="auto"/>
            </w:tcBorders>
            <w:vAlign w:val="bottom"/>
          </w:tcPr>
          <w:p w:rsidR="00645A76" w:rsidRPr="00E21CDC" w:rsidRDefault="00645A76" w:rsidP="00896462">
            <w:pPr>
              <w:rPr>
                <w:rFonts w:ascii="Arial" w:hAnsi="Arial" w:cs="Arial"/>
              </w:rPr>
            </w:pPr>
            <w:r w:rsidRPr="00E21CDC">
              <w:rPr>
                <w:rFonts w:ascii="Arial" w:hAnsi="Arial" w:cs="Arial"/>
              </w:rPr>
              <w:t>The percentage of patients on the register who have a comprehensive care plan documented in the preceding 15 months agreed between individuals, their family and/or carers as appropriate.</w:t>
            </w:r>
          </w:p>
        </w:tc>
        <w:tc>
          <w:tcPr>
            <w:tcW w:w="1418" w:type="dxa"/>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40-90</w:t>
            </w:r>
          </w:p>
        </w:tc>
        <w:tc>
          <w:tcPr>
            <w:tcW w:w="992" w:type="dxa"/>
            <w:gridSpan w:val="3"/>
            <w:tcBorders>
              <w:top w:val="nil"/>
              <w:left w:val="nil"/>
              <w:bottom w:val="single" w:sz="4" w:space="0" w:color="auto"/>
              <w:right w:val="single" w:sz="4" w:space="0" w:color="auto"/>
            </w:tcBorders>
          </w:tcPr>
          <w:p w:rsidR="00645A76" w:rsidRPr="00E21CDC" w:rsidRDefault="00645A76" w:rsidP="00896462">
            <w:pPr>
              <w:jc w:val="center"/>
              <w:rPr>
                <w:rFonts w:ascii="Arial" w:hAnsi="Arial" w:cs="Arial"/>
              </w:rPr>
            </w:pPr>
            <w:r w:rsidRPr="00E21CDC">
              <w:rPr>
                <w:rFonts w:ascii="Arial" w:hAnsi="Arial" w:cs="Arial"/>
              </w:rPr>
              <w:t>6</w:t>
            </w:r>
          </w:p>
        </w:tc>
      </w:tr>
      <w:tr w:rsidR="00645A76" w:rsidTr="00896462">
        <w:trPr>
          <w:trHeight w:val="255"/>
        </w:trPr>
        <w:tc>
          <w:tcPr>
            <w:tcW w:w="8662" w:type="dxa"/>
            <w:gridSpan w:val="8"/>
            <w:tcBorders>
              <w:top w:val="single" w:sz="4" w:space="0" w:color="auto"/>
              <w:left w:val="single" w:sz="4" w:space="0" w:color="auto"/>
              <w:bottom w:val="single" w:sz="4" w:space="0" w:color="auto"/>
              <w:right w:val="single" w:sz="4" w:space="0" w:color="000000"/>
            </w:tcBorders>
            <w:noWrap/>
            <w:vAlign w:val="bottom"/>
          </w:tcPr>
          <w:p w:rsidR="00645A76" w:rsidRPr="00E21CDC" w:rsidRDefault="00645A76" w:rsidP="00896462">
            <w:pPr>
              <w:rPr>
                <w:rFonts w:ascii="Arial" w:hAnsi="Arial" w:cs="Arial"/>
                <w:b/>
                <w:bCs/>
              </w:rPr>
            </w:pPr>
            <w:r w:rsidRPr="00E21CDC">
              <w:rPr>
                <w:rFonts w:ascii="Arial" w:hAnsi="Arial" w:cs="Arial"/>
                <w:b/>
                <w:bCs/>
              </w:rPr>
              <w:t>Total points replacement indicators</w:t>
            </w:r>
          </w:p>
        </w:tc>
        <w:tc>
          <w:tcPr>
            <w:tcW w:w="992" w:type="dxa"/>
            <w:gridSpan w:val="3"/>
            <w:tcBorders>
              <w:top w:val="single" w:sz="4" w:space="0" w:color="auto"/>
              <w:left w:val="nil"/>
              <w:bottom w:val="single" w:sz="4" w:space="0" w:color="auto"/>
              <w:right w:val="single" w:sz="4" w:space="0" w:color="auto"/>
            </w:tcBorders>
            <w:noWrap/>
          </w:tcPr>
          <w:p w:rsidR="00645A76" w:rsidRPr="00E21CDC" w:rsidRDefault="00645A76" w:rsidP="00896462">
            <w:pPr>
              <w:jc w:val="center"/>
              <w:rPr>
                <w:rFonts w:ascii="Arial" w:hAnsi="Arial" w:cs="Arial"/>
                <w:b/>
                <w:bCs/>
              </w:rPr>
            </w:pPr>
            <w:r>
              <w:rPr>
                <w:rFonts w:ascii="Arial" w:hAnsi="Arial" w:cs="Arial"/>
                <w:b/>
                <w:bCs/>
              </w:rPr>
              <w:t>84</w:t>
            </w:r>
          </w:p>
        </w:tc>
      </w:tr>
      <w:tr w:rsidR="00645A76" w:rsidTr="00896462">
        <w:trPr>
          <w:trHeight w:val="255"/>
        </w:trPr>
        <w:tc>
          <w:tcPr>
            <w:tcW w:w="8662" w:type="dxa"/>
            <w:gridSpan w:val="8"/>
            <w:tcBorders>
              <w:top w:val="single" w:sz="4" w:space="0" w:color="auto"/>
              <w:left w:val="single" w:sz="4" w:space="0" w:color="auto"/>
              <w:bottom w:val="single" w:sz="4" w:space="0" w:color="auto"/>
              <w:right w:val="single" w:sz="4" w:space="0" w:color="auto"/>
            </w:tcBorders>
            <w:noWrap/>
            <w:vAlign w:val="bottom"/>
          </w:tcPr>
          <w:p w:rsidR="00645A76" w:rsidRPr="00E21CDC" w:rsidRDefault="00645A76" w:rsidP="00896462">
            <w:pPr>
              <w:rPr>
                <w:rFonts w:ascii="Arial" w:hAnsi="Arial" w:cs="Arial"/>
                <w:b/>
                <w:bCs/>
              </w:rPr>
            </w:pPr>
            <w:r w:rsidRPr="00E21CDC">
              <w:rPr>
                <w:rFonts w:ascii="Arial" w:hAnsi="Arial" w:cs="Arial"/>
                <w:b/>
                <w:bCs/>
              </w:rPr>
              <w:t xml:space="preserve">Total number of points required for new and replacement indicators </w:t>
            </w:r>
          </w:p>
        </w:tc>
        <w:tc>
          <w:tcPr>
            <w:tcW w:w="992" w:type="dxa"/>
            <w:gridSpan w:val="3"/>
            <w:tcBorders>
              <w:top w:val="single" w:sz="4" w:space="0" w:color="auto"/>
              <w:left w:val="nil"/>
              <w:bottom w:val="single" w:sz="4" w:space="0" w:color="auto"/>
              <w:right w:val="single" w:sz="4" w:space="0" w:color="auto"/>
            </w:tcBorders>
            <w:noWrap/>
          </w:tcPr>
          <w:p w:rsidR="00645A76" w:rsidRPr="00E21CDC" w:rsidRDefault="00645A76" w:rsidP="00896462">
            <w:pPr>
              <w:ind w:left="-250"/>
              <w:jc w:val="center"/>
              <w:rPr>
                <w:rFonts w:ascii="Arial" w:hAnsi="Arial" w:cs="Arial"/>
                <w:b/>
                <w:bCs/>
              </w:rPr>
            </w:pPr>
            <w:r>
              <w:rPr>
                <w:rFonts w:ascii="Arial" w:hAnsi="Arial" w:cs="Arial"/>
                <w:b/>
                <w:bCs/>
              </w:rPr>
              <w:t>136</w:t>
            </w:r>
          </w:p>
        </w:tc>
      </w:tr>
      <w:tr w:rsidR="00645A76" w:rsidTr="00896462">
        <w:trPr>
          <w:gridAfter w:val="1"/>
          <w:wAfter w:w="548" w:type="dxa"/>
          <w:trHeight w:val="315"/>
        </w:trPr>
        <w:tc>
          <w:tcPr>
            <w:tcW w:w="9106" w:type="dxa"/>
            <w:gridSpan w:val="10"/>
            <w:tcBorders>
              <w:top w:val="nil"/>
              <w:left w:val="nil"/>
              <w:bottom w:val="nil"/>
              <w:right w:val="nil"/>
            </w:tcBorders>
            <w:noWrap/>
            <w:vAlign w:val="bottom"/>
          </w:tcPr>
          <w:p w:rsidR="00645A76" w:rsidRPr="000A5B35" w:rsidRDefault="00645A76" w:rsidP="00896462">
            <w:pPr>
              <w:rPr>
                <w:rFonts w:ascii="Arial" w:hAnsi="Arial" w:cs="Arial"/>
                <w:b/>
                <w:bCs/>
                <w:sz w:val="24"/>
                <w:szCs w:val="24"/>
              </w:rPr>
            </w:pPr>
            <w:r>
              <w:rPr>
                <w:rFonts w:ascii="Arial" w:hAnsi="Arial" w:cs="Arial"/>
                <w:b/>
                <w:bCs/>
                <w:sz w:val="24"/>
                <w:szCs w:val="24"/>
              </w:rPr>
              <w:lastRenderedPageBreak/>
              <w:t>Points released by retirements</w:t>
            </w:r>
          </w:p>
        </w:tc>
      </w:tr>
      <w:tr w:rsidR="00645A76" w:rsidTr="00896462">
        <w:trPr>
          <w:gridAfter w:val="1"/>
          <w:wAfter w:w="548" w:type="dxa"/>
          <w:trHeight w:val="255"/>
        </w:trPr>
        <w:tc>
          <w:tcPr>
            <w:tcW w:w="9106" w:type="dxa"/>
            <w:gridSpan w:val="10"/>
            <w:tcBorders>
              <w:top w:val="nil"/>
              <w:left w:val="nil"/>
              <w:bottom w:val="nil"/>
              <w:right w:val="nil"/>
            </w:tcBorders>
            <w:noWrap/>
            <w:vAlign w:val="bottom"/>
          </w:tcPr>
          <w:p w:rsidR="00645A76" w:rsidRPr="000A5B35" w:rsidRDefault="00645A76" w:rsidP="00896462">
            <w:pPr>
              <w:rPr>
                <w:rFonts w:ascii="Arial" w:hAnsi="Arial" w:cs="Arial"/>
                <w:b/>
                <w:bCs/>
              </w:rPr>
            </w:pPr>
            <w:r w:rsidRPr="000A5B35">
              <w:rPr>
                <w:rFonts w:ascii="Arial" w:hAnsi="Arial" w:cs="Arial"/>
                <w:b/>
                <w:bCs/>
              </w:rPr>
              <w:t>Retirements due to replacement</w:t>
            </w:r>
          </w:p>
        </w:tc>
      </w:tr>
      <w:tr w:rsidR="00645A76" w:rsidTr="00896462">
        <w:trPr>
          <w:gridAfter w:val="1"/>
          <w:wAfter w:w="548" w:type="dxa"/>
          <w:trHeight w:val="510"/>
        </w:trPr>
        <w:tc>
          <w:tcPr>
            <w:tcW w:w="1506" w:type="dxa"/>
            <w:gridSpan w:val="3"/>
            <w:tcBorders>
              <w:top w:val="single" w:sz="4" w:space="0" w:color="auto"/>
              <w:left w:val="single" w:sz="4" w:space="0" w:color="auto"/>
              <w:bottom w:val="single" w:sz="4" w:space="0" w:color="auto"/>
              <w:right w:val="single" w:sz="4" w:space="0" w:color="auto"/>
            </w:tcBorders>
            <w:noWrap/>
            <w:vAlign w:val="center"/>
          </w:tcPr>
          <w:p w:rsidR="00645A76" w:rsidRPr="000A5B35" w:rsidRDefault="00645A76" w:rsidP="00896462">
            <w:pPr>
              <w:jc w:val="center"/>
              <w:rPr>
                <w:rFonts w:ascii="Arial" w:hAnsi="Arial" w:cs="Arial"/>
                <w:b/>
                <w:bCs/>
              </w:rPr>
            </w:pPr>
            <w:r w:rsidRPr="000A5B35">
              <w:rPr>
                <w:rFonts w:ascii="Arial" w:hAnsi="Arial" w:cs="Arial"/>
                <w:b/>
                <w:bCs/>
              </w:rPr>
              <w:t>QOF ID</w:t>
            </w:r>
          </w:p>
        </w:tc>
        <w:tc>
          <w:tcPr>
            <w:tcW w:w="919" w:type="dxa"/>
            <w:gridSpan w:val="2"/>
            <w:tcBorders>
              <w:top w:val="single" w:sz="4" w:space="0" w:color="auto"/>
              <w:left w:val="nil"/>
              <w:bottom w:val="single" w:sz="4" w:space="0" w:color="auto"/>
              <w:right w:val="single" w:sz="4" w:space="0" w:color="auto"/>
            </w:tcBorders>
            <w:vAlign w:val="center"/>
          </w:tcPr>
          <w:p w:rsidR="00645A76" w:rsidRPr="000A5B35" w:rsidRDefault="00645A76" w:rsidP="00896462">
            <w:pPr>
              <w:jc w:val="center"/>
              <w:rPr>
                <w:rFonts w:ascii="Arial" w:hAnsi="Arial" w:cs="Arial"/>
                <w:b/>
                <w:bCs/>
              </w:rPr>
            </w:pPr>
            <w:r w:rsidRPr="000A5B35">
              <w:rPr>
                <w:rFonts w:ascii="Arial" w:hAnsi="Arial" w:cs="Arial"/>
                <w:b/>
                <w:bCs/>
              </w:rPr>
              <w:t>12/13 Points</w:t>
            </w:r>
          </w:p>
        </w:tc>
        <w:tc>
          <w:tcPr>
            <w:tcW w:w="6681" w:type="dxa"/>
            <w:gridSpan w:val="5"/>
            <w:tcBorders>
              <w:top w:val="single" w:sz="4" w:space="0" w:color="auto"/>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b/>
                <w:bCs/>
              </w:rPr>
            </w:pPr>
            <w:r w:rsidRPr="000A5B35">
              <w:rPr>
                <w:rFonts w:ascii="Arial" w:hAnsi="Arial" w:cs="Arial"/>
                <w:b/>
                <w:bCs/>
              </w:rPr>
              <w:t>NICE indicator wording</w:t>
            </w:r>
          </w:p>
        </w:tc>
      </w:tr>
      <w:tr w:rsidR="00645A76" w:rsidTr="00896462">
        <w:trPr>
          <w:gridAfter w:val="1"/>
          <w:wAfter w:w="548" w:type="dxa"/>
          <w:trHeight w:val="765"/>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NM26 replaces PP1</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8</w:t>
            </w:r>
          </w:p>
        </w:tc>
        <w:tc>
          <w:tcPr>
            <w:tcW w:w="6681" w:type="dxa"/>
            <w:gridSpan w:val="5"/>
            <w:tcBorders>
              <w:top w:val="nil"/>
              <w:left w:val="nil"/>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In those patients with a new diagnosis of hypertension aged 30-74 years, recorded between the preceding 1 April to 31 March (excluding those with pre-existing CHD, diabetes, stroke and/or TIA), who have a recorded CVD risk assessment score (using an agreed risk assessment tool) of ≥20% in the preceding 15 months: the percentage who are currently treated with statins (unless there is a contraindication)</w:t>
            </w:r>
          </w:p>
        </w:tc>
      </w:tr>
      <w:tr w:rsidR="00645A76" w:rsidTr="00896462">
        <w:trPr>
          <w:gridAfter w:val="1"/>
          <w:wAfter w:w="548" w:type="dxa"/>
          <w:trHeight w:val="765"/>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NM45 replaces Cancer 3</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6</w:t>
            </w:r>
          </w:p>
        </w:tc>
        <w:tc>
          <w:tcPr>
            <w:tcW w:w="6681" w:type="dxa"/>
            <w:gridSpan w:val="5"/>
            <w:tcBorders>
              <w:top w:val="nil"/>
              <w:left w:val="nil"/>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with cancer diagnosed within the preceding 15 months who have a review recorded as occurring within 3 months of the practice receiving confirmation of the diagnosis</w:t>
            </w:r>
            <w:r>
              <w:rPr>
                <w:rFonts w:ascii="Arial" w:hAnsi="Arial" w:cs="Arial"/>
              </w:rPr>
              <w:t>’</w:t>
            </w:r>
          </w:p>
        </w:tc>
      </w:tr>
      <w:tr w:rsidR="00645A76" w:rsidTr="00896462">
        <w:trPr>
          <w:gridAfter w:val="1"/>
          <w:wAfter w:w="548" w:type="dxa"/>
          <w:trHeight w:val="975"/>
        </w:trPr>
        <w:tc>
          <w:tcPr>
            <w:tcW w:w="1506" w:type="dxa"/>
            <w:gridSpan w:val="3"/>
            <w:tcBorders>
              <w:top w:val="single" w:sz="4" w:space="0" w:color="auto"/>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DEP 1</w:t>
            </w:r>
          </w:p>
        </w:tc>
        <w:tc>
          <w:tcPr>
            <w:tcW w:w="919" w:type="dxa"/>
            <w:gridSpan w:val="2"/>
            <w:tcBorders>
              <w:top w:val="single" w:sz="4" w:space="0" w:color="auto"/>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6</w:t>
            </w:r>
          </w:p>
        </w:tc>
        <w:tc>
          <w:tcPr>
            <w:tcW w:w="6681" w:type="dxa"/>
            <w:gridSpan w:val="5"/>
            <w:tcBorders>
              <w:top w:val="single" w:sz="4" w:space="0" w:color="auto"/>
              <w:left w:val="nil"/>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on the diabetes register and/or the CHD register for whom case finding for depression has been undertaken on 1 occasion during the preceding 15 months using two standard screening questions</w:t>
            </w:r>
          </w:p>
        </w:tc>
      </w:tr>
      <w:tr w:rsidR="00645A76" w:rsidTr="00896462">
        <w:trPr>
          <w:gridAfter w:val="1"/>
          <w:wAfter w:w="548" w:type="dxa"/>
          <w:trHeight w:val="765"/>
        </w:trPr>
        <w:tc>
          <w:tcPr>
            <w:tcW w:w="1506" w:type="dxa"/>
            <w:gridSpan w:val="3"/>
            <w:tcBorders>
              <w:top w:val="single" w:sz="4" w:space="0" w:color="auto"/>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NM49 replaces DEP6</w:t>
            </w:r>
          </w:p>
        </w:tc>
        <w:tc>
          <w:tcPr>
            <w:tcW w:w="919" w:type="dxa"/>
            <w:gridSpan w:val="2"/>
            <w:tcBorders>
              <w:top w:val="single" w:sz="4" w:space="0" w:color="auto"/>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17</w:t>
            </w:r>
          </w:p>
        </w:tc>
        <w:tc>
          <w:tcPr>
            <w:tcW w:w="6681" w:type="dxa"/>
            <w:gridSpan w:val="5"/>
            <w:tcBorders>
              <w:top w:val="single" w:sz="4" w:space="0" w:color="auto"/>
              <w:left w:val="nil"/>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with a new diagnosis of depression in the preceding 1 April to 31 March who have had a bio-psychosocial assessment by the point of diagnosis</w:t>
            </w:r>
          </w:p>
        </w:tc>
      </w:tr>
      <w:tr w:rsidR="00645A76" w:rsidTr="00896462">
        <w:trPr>
          <w:gridAfter w:val="1"/>
          <w:wAfter w:w="548" w:type="dxa"/>
          <w:trHeight w:val="765"/>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NM50 replaces DEP7</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8</w:t>
            </w:r>
          </w:p>
        </w:tc>
        <w:tc>
          <w:tcPr>
            <w:tcW w:w="6681" w:type="dxa"/>
            <w:gridSpan w:val="5"/>
            <w:tcBorders>
              <w:top w:val="nil"/>
              <w:left w:val="nil"/>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with a new diagnosis of depression in the preceding 1 April to 31 March who have been reviewed within 10-35 days of the date of diagnosis</w:t>
            </w:r>
          </w:p>
        </w:tc>
      </w:tr>
      <w:tr w:rsidR="00645A76" w:rsidTr="00896462">
        <w:trPr>
          <w:gridAfter w:val="1"/>
          <w:wAfter w:w="548" w:type="dxa"/>
          <w:trHeight w:val="510"/>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NM59 replaces DM13</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3</w:t>
            </w:r>
          </w:p>
        </w:tc>
        <w:tc>
          <w:tcPr>
            <w:tcW w:w="6681" w:type="dxa"/>
            <w:gridSpan w:val="5"/>
            <w:tcBorders>
              <w:top w:val="nil"/>
              <w:left w:val="nil"/>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 xml:space="preserve">The percentage of patients with diabetes who have a record of an albumin:creatinine ratio (ACR) test in the preceding 15 months </w:t>
            </w:r>
          </w:p>
        </w:tc>
      </w:tr>
      <w:tr w:rsidR="00645A76" w:rsidTr="00896462">
        <w:trPr>
          <w:gridAfter w:val="1"/>
          <w:wAfter w:w="548" w:type="dxa"/>
          <w:trHeight w:val="765"/>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NM60 replaces Stroke 8</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5</w:t>
            </w:r>
          </w:p>
        </w:tc>
        <w:tc>
          <w:tcPr>
            <w:tcW w:w="6681" w:type="dxa"/>
            <w:gridSpan w:val="5"/>
            <w:tcBorders>
              <w:top w:val="nil"/>
              <w:left w:val="nil"/>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with a stroke shown to be non- haemorrhagic, or a history of TIA whose last measured total cholesterol (measured in the preceding 15 months) is 5mmol/l or less</w:t>
            </w:r>
          </w:p>
        </w:tc>
      </w:tr>
      <w:tr w:rsidR="00645A76" w:rsidTr="00896462">
        <w:trPr>
          <w:gridAfter w:val="1"/>
          <w:wAfter w:w="548" w:type="dxa"/>
          <w:trHeight w:val="510"/>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NM61 replaces Records 11</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10</w:t>
            </w:r>
          </w:p>
        </w:tc>
        <w:tc>
          <w:tcPr>
            <w:tcW w:w="6681" w:type="dxa"/>
            <w:gridSpan w:val="5"/>
            <w:vMerge w:val="restart"/>
            <w:tcBorders>
              <w:top w:val="nil"/>
              <w:left w:val="single" w:sz="4" w:space="0" w:color="auto"/>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aged 40 years and over with a blood pressure measurement recorded in the preceding 5 years</w:t>
            </w:r>
          </w:p>
        </w:tc>
      </w:tr>
      <w:tr w:rsidR="00645A76" w:rsidTr="00896462">
        <w:trPr>
          <w:gridAfter w:val="1"/>
          <w:wAfter w:w="548" w:type="dxa"/>
          <w:trHeight w:val="900"/>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NM61 replaces Records 17</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5</w:t>
            </w:r>
          </w:p>
        </w:tc>
        <w:tc>
          <w:tcPr>
            <w:tcW w:w="6681" w:type="dxa"/>
            <w:gridSpan w:val="5"/>
            <w:vMerge/>
            <w:tcBorders>
              <w:top w:val="nil"/>
              <w:left w:val="single" w:sz="4" w:space="0" w:color="auto"/>
              <w:bottom w:val="single" w:sz="4" w:space="0" w:color="auto"/>
              <w:right w:val="single" w:sz="4" w:space="0" w:color="auto"/>
            </w:tcBorders>
            <w:vAlign w:val="center"/>
          </w:tcPr>
          <w:p w:rsidR="00645A76" w:rsidRPr="000A5B35" w:rsidRDefault="00645A76" w:rsidP="00896462">
            <w:pPr>
              <w:rPr>
                <w:rFonts w:ascii="Arial" w:hAnsi="Arial" w:cs="Arial"/>
              </w:rPr>
            </w:pPr>
          </w:p>
        </w:tc>
      </w:tr>
      <w:tr w:rsidR="00645A76" w:rsidTr="00896462">
        <w:trPr>
          <w:gridAfter w:val="1"/>
          <w:wAfter w:w="548" w:type="dxa"/>
          <w:trHeight w:val="765"/>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 xml:space="preserve">DM15 </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3</w:t>
            </w:r>
          </w:p>
        </w:tc>
        <w:tc>
          <w:tcPr>
            <w:tcW w:w="6681" w:type="dxa"/>
            <w:gridSpan w:val="5"/>
            <w:tcBorders>
              <w:top w:val="nil"/>
              <w:left w:val="nil"/>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with diabetes with a diagnosis of nephropathy (clinical proteinuria) or micro-albuminuria who are treated with ACE inhibitors (or A2 antagonists)</w:t>
            </w:r>
          </w:p>
        </w:tc>
      </w:tr>
      <w:tr w:rsidR="00645A76" w:rsidTr="00896462">
        <w:trPr>
          <w:gridAfter w:val="1"/>
          <w:wAfter w:w="548" w:type="dxa"/>
          <w:trHeight w:val="765"/>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CVD PP2</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5</w:t>
            </w:r>
          </w:p>
        </w:tc>
        <w:tc>
          <w:tcPr>
            <w:tcW w:w="6681" w:type="dxa"/>
            <w:gridSpan w:val="5"/>
            <w:tcBorders>
              <w:top w:val="nil"/>
              <w:left w:val="nil"/>
              <w:bottom w:val="single" w:sz="4" w:space="0" w:color="auto"/>
              <w:right w:val="single" w:sz="4" w:space="0" w:color="auto"/>
            </w:tcBorders>
            <w:vAlign w:val="bottom"/>
          </w:tcPr>
          <w:p w:rsidR="00645A76" w:rsidRPr="000A5B35" w:rsidRDefault="00645A76" w:rsidP="00896462">
            <w:pPr>
              <w:rPr>
                <w:rFonts w:ascii="Arial" w:hAnsi="Arial" w:cs="Arial"/>
              </w:rPr>
            </w:pPr>
            <w:r w:rsidRPr="000A5B35">
              <w:rPr>
                <w:rFonts w:ascii="Arial" w:hAnsi="Arial" w:cs="Arial"/>
              </w:rPr>
              <w:t>The percentage of people diagnosed with hypertension (diagnosed after 1 April 2009) who are given lifestyle advice in the preceding 15 months for: smoking cessation, safe alcohol consumption and healthy diet.</w:t>
            </w:r>
          </w:p>
        </w:tc>
      </w:tr>
      <w:tr w:rsidR="00645A76" w:rsidTr="00896462">
        <w:trPr>
          <w:gridAfter w:val="1"/>
          <w:wAfter w:w="548" w:type="dxa"/>
          <w:trHeight w:val="765"/>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MH 10</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rPr>
            </w:pPr>
            <w:r w:rsidRPr="000A5B35">
              <w:rPr>
                <w:rFonts w:ascii="Arial" w:hAnsi="Arial" w:cs="Arial"/>
              </w:rPr>
              <w:t>6</w:t>
            </w:r>
          </w:p>
        </w:tc>
        <w:tc>
          <w:tcPr>
            <w:tcW w:w="6681" w:type="dxa"/>
            <w:gridSpan w:val="5"/>
            <w:tcBorders>
              <w:top w:val="nil"/>
              <w:left w:val="nil"/>
              <w:bottom w:val="single" w:sz="4" w:space="0" w:color="auto"/>
              <w:right w:val="single" w:sz="4" w:space="0" w:color="auto"/>
            </w:tcBorders>
            <w:vAlign w:val="bottom"/>
          </w:tcPr>
          <w:p w:rsidR="00645A76" w:rsidRPr="000A5B35" w:rsidRDefault="00645A76" w:rsidP="00896462">
            <w:pPr>
              <w:rPr>
                <w:rFonts w:ascii="Arial" w:hAnsi="Arial" w:cs="Arial"/>
              </w:rPr>
            </w:pPr>
            <w:r w:rsidRPr="000A5B35">
              <w:rPr>
                <w:rFonts w:ascii="Arial" w:hAnsi="Arial" w:cs="Arial"/>
              </w:rPr>
              <w:t>The percentage of patients on the register who have a comprehensive care plan documented in the preceding 15 months agreed between individuals, their family and/or carers as appropriate.</w:t>
            </w:r>
          </w:p>
        </w:tc>
      </w:tr>
      <w:tr w:rsidR="00645A76" w:rsidTr="00896462">
        <w:trPr>
          <w:gridAfter w:val="1"/>
          <w:wAfter w:w="548" w:type="dxa"/>
          <w:trHeight w:val="255"/>
        </w:trPr>
        <w:tc>
          <w:tcPr>
            <w:tcW w:w="1506" w:type="dxa"/>
            <w:gridSpan w:val="3"/>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b/>
                <w:bCs/>
              </w:rPr>
            </w:pPr>
            <w:r w:rsidRPr="000A5B35">
              <w:rPr>
                <w:rFonts w:ascii="Arial" w:hAnsi="Arial" w:cs="Arial"/>
                <w:b/>
                <w:bCs/>
              </w:rPr>
              <w:t>Total</w:t>
            </w:r>
          </w:p>
        </w:tc>
        <w:tc>
          <w:tcPr>
            <w:tcW w:w="919" w:type="dxa"/>
            <w:gridSpan w:val="2"/>
            <w:tcBorders>
              <w:top w:val="nil"/>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b/>
                <w:bCs/>
              </w:rPr>
            </w:pPr>
            <w:r w:rsidRPr="000A5B35">
              <w:rPr>
                <w:rFonts w:ascii="Arial" w:hAnsi="Arial" w:cs="Arial"/>
                <w:b/>
                <w:bCs/>
              </w:rPr>
              <w:t>137</w:t>
            </w:r>
          </w:p>
        </w:tc>
        <w:tc>
          <w:tcPr>
            <w:tcW w:w="6681" w:type="dxa"/>
            <w:gridSpan w:val="5"/>
            <w:tcBorders>
              <w:top w:val="nil"/>
              <w:left w:val="nil"/>
              <w:bottom w:val="single" w:sz="4" w:space="0" w:color="auto"/>
              <w:right w:val="single" w:sz="4" w:space="0" w:color="auto"/>
            </w:tcBorders>
            <w:noWrap/>
            <w:vAlign w:val="bottom"/>
          </w:tcPr>
          <w:p w:rsidR="00645A76" w:rsidRPr="000A5B35" w:rsidRDefault="00645A76" w:rsidP="00896462">
            <w:pPr>
              <w:jc w:val="center"/>
              <w:rPr>
                <w:rFonts w:ascii="Arial" w:hAnsi="Arial" w:cs="Arial"/>
                <w:b/>
                <w:bCs/>
              </w:rPr>
            </w:pPr>
            <w:r w:rsidRPr="000A5B35">
              <w:rPr>
                <w:rFonts w:ascii="Arial" w:hAnsi="Arial" w:cs="Arial"/>
                <w:b/>
                <w:bCs/>
              </w:rPr>
              <w:t> </w:t>
            </w:r>
          </w:p>
        </w:tc>
      </w:tr>
      <w:tr w:rsidR="00645A76" w:rsidTr="00896462">
        <w:trPr>
          <w:gridAfter w:val="1"/>
          <w:wAfter w:w="548" w:type="dxa"/>
          <w:trHeight w:val="255"/>
        </w:trPr>
        <w:tc>
          <w:tcPr>
            <w:tcW w:w="2425" w:type="dxa"/>
            <w:gridSpan w:val="5"/>
            <w:tcBorders>
              <w:top w:val="nil"/>
              <w:left w:val="nil"/>
              <w:bottom w:val="nil"/>
              <w:right w:val="nil"/>
            </w:tcBorders>
            <w:noWrap/>
            <w:vAlign w:val="bottom"/>
          </w:tcPr>
          <w:p w:rsidR="00645A76" w:rsidRDefault="00645A76" w:rsidP="00896462">
            <w:pPr>
              <w:rPr>
                <w:rFonts w:ascii="Arial" w:hAnsi="Arial" w:cs="Arial"/>
                <w:b/>
                <w:bCs/>
              </w:rPr>
            </w:pPr>
          </w:p>
          <w:p w:rsidR="00645A76" w:rsidRPr="000A5B35" w:rsidRDefault="00645A76" w:rsidP="00896462">
            <w:pPr>
              <w:rPr>
                <w:rFonts w:ascii="Arial" w:hAnsi="Arial" w:cs="Arial"/>
              </w:rPr>
            </w:pPr>
            <w:r w:rsidRPr="000A5B35">
              <w:rPr>
                <w:rFonts w:ascii="Arial" w:hAnsi="Arial" w:cs="Arial"/>
                <w:b/>
                <w:bCs/>
              </w:rPr>
              <w:t xml:space="preserve">Retirements </w:t>
            </w:r>
          </w:p>
        </w:tc>
        <w:tc>
          <w:tcPr>
            <w:tcW w:w="6681" w:type="dxa"/>
            <w:gridSpan w:val="5"/>
            <w:tcBorders>
              <w:top w:val="nil"/>
              <w:left w:val="nil"/>
              <w:bottom w:val="nil"/>
              <w:right w:val="nil"/>
            </w:tcBorders>
            <w:noWrap/>
            <w:vAlign w:val="bottom"/>
          </w:tcPr>
          <w:p w:rsidR="00645A76" w:rsidRPr="000A5B35" w:rsidRDefault="00645A76" w:rsidP="00896462">
            <w:pPr>
              <w:rPr>
                <w:rFonts w:ascii="Arial" w:hAnsi="Arial" w:cs="Arial"/>
              </w:rPr>
            </w:pPr>
          </w:p>
        </w:tc>
      </w:tr>
      <w:tr w:rsidR="00645A76" w:rsidTr="00896462">
        <w:trPr>
          <w:gridAfter w:val="1"/>
          <w:wAfter w:w="548" w:type="dxa"/>
          <w:trHeight w:val="510"/>
        </w:trPr>
        <w:tc>
          <w:tcPr>
            <w:tcW w:w="1433" w:type="dxa"/>
            <w:gridSpan w:val="2"/>
            <w:tcBorders>
              <w:top w:val="single" w:sz="4" w:space="0" w:color="auto"/>
              <w:left w:val="single" w:sz="4" w:space="0" w:color="auto"/>
              <w:bottom w:val="single" w:sz="4" w:space="0" w:color="auto"/>
              <w:right w:val="single" w:sz="4" w:space="0" w:color="auto"/>
            </w:tcBorders>
            <w:noWrap/>
            <w:vAlign w:val="center"/>
          </w:tcPr>
          <w:p w:rsidR="00645A76" w:rsidRPr="000A5B35" w:rsidRDefault="00645A76" w:rsidP="00896462">
            <w:pPr>
              <w:jc w:val="center"/>
              <w:rPr>
                <w:rFonts w:ascii="Arial" w:hAnsi="Arial" w:cs="Arial"/>
                <w:b/>
                <w:bCs/>
              </w:rPr>
            </w:pPr>
            <w:r w:rsidRPr="000A5B35">
              <w:rPr>
                <w:rFonts w:ascii="Arial" w:hAnsi="Arial" w:cs="Arial"/>
                <w:b/>
                <w:bCs/>
              </w:rPr>
              <w:t>QOF ID</w:t>
            </w:r>
          </w:p>
        </w:tc>
        <w:tc>
          <w:tcPr>
            <w:tcW w:w="992" w:type="dxa"/>
            <w:gridSpan w:val="3"/>
            <w:tcBorders>
              <w:top w:val="single" w:sz="4" w:space="0" w:color="auto"/>
              <w:left w:val="nil"/>
              <w:bottom w:val="single" w:sz="4" w:space="0" w:color="auto"/>
              <w:right w:val="single" w:sz="4" w:space="0" w:color="auto"/>
            </w:tcBorders>
            <w:vAlign w:val="center"/>
          </w:tcPr>
          <w:p w:rsidR="00645A76" w:rsidRPr="000A5B35" w:rsidRDefault="00645A76" w:rsidP="00896462">
            <w:pPr>
              <w:jc w:val="center"/>
              <w:rPr>
                <w:rFonts w:ascii="Arial" w:hAnsi="Arial" w:cs="Arial"/>
                <w:b/>
                <w:bCs/>
              </w:rPr>
            </w:pPr>
            <w:r w:rsidRPr="000A5B35">
              <w:rPr>
                <w:rFonts w:ascii="Arial" w:hAnsi="Arial" w:cs="Arial"/>
                <w:b/>
                <w:bCs/>
              </w:rPr>
              <w:t>12/13 Points</w:t>
            </w:r>
          </w:p>
        </w:tc>
        <w:tc>
          <w:tcPr>
            <w:tcW w:w="6681" w:type="dxa"/>
            <w:gridSpan w:val="5"/>
            <w:tcBorders>
              <w:top w:val="single" w:sz="4" w:space="0" w:color="auto"/>
              <w:left w:val="nil"/>
              <w:bottom w:val="nil"/>
              <w:right w:val="single" w:sz="4" w:space="0" w:color="auto"/>
            </w:tcBorders>
            <w:noWrap/>
            <w:vAlign w:val="center"/>
          </w:tcPr>
          <w:p w:rsidR="00645A76" w:rsidRPr="000A5B35" w:rsidRDefault="00645A76" w:rsidP="00896462">
            <w:pPr>
              <w:jc w:val="center"/>
              <w:rPr>
                <w:rFonts w:ascii="Arial" w:hAnsi="Arial" w:cs="Arial"/>
                <w:b/>
                <w:bCs/>
              </w:rPr>
            </w:pPr>
            <w:r w:rsidRPr="000A5B35">
              <w:rPr>
                <w:rFonts w:ascii="Arial" w:hAnsi="Arial" w:cs="Arial"/>
                <w:b/>
                <w:bCs/>
              </w:rPr>
              <w:t>Indicator Wording</w:t>
            </w:r>
          </w:p>
        </w:tc>
      </w:tr>
      <w:tr w:rsidR="00645A76" w:rsidTr="00896462">
        <w:trPr>
          <w:gridAfter w:val="1"/>
          <w:wAfter w:w="548" w:type="dxa"/>
          <w:trHeight w:val="510"/>
        </w:trPr>
        <w:tc>
          <w:tcPr>
            <w:tcW w:w="1433" w:type="dxa"/>
            <w:gridSpan w:val="2"/>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CHD10</w:t>
            </w:r>
          </w:p>
        </w:tc>
        <w:tc>
          <w:tcPr>
            <w:tcW w:w="992" w:type="dxa"/>
            <w:gridSpan w:val="3"/>
            <w:tcBorders>
              <w:top w:val="nil"/>
              <w:left w:val="nil"/>
              <w:bottom w:val="single" w:sz="4" w:space="0" w:color="auto"/>
              <w:right w:val="nil"/>
            </w:tcBorders>
            <w:noWrap/>
            <w:vAlign w:val="center"/>
          </w:tcPr>
          <w:p w:rsidR="00645A76" w:rsidRPr="000A5B35" w:rsidRDefault="00645A76" w:rsidP="00896462">
            <w:pPr>
              <w:jc w:val="center"/>
              <w:rPr>
                <w:rFonts w:ascii="Arial" w:hAnsi="Arial" w:cs="Arial"/>
              </w:rPr>
            </w:pPr>
            <w:r w:rsidRPr="000A5B35">
              <w:rPr>
                <w:rFonts w:ascii="Arial" w:hAnsi="Arial" w:cs="Arial"/>
              </w:rPr>
              <w:t>7</w:t>
            </w:r>
          </w:p>
        </w:tc>
        <w:tc>
          <w:tcPr>
            <w:tcW w:w="6681" w:type="dxa"/>
            <w:gridSpan w:val="5"/>
            <w:tcBorders>
              <w:top w:val="single" w:sz="4" w:space="0" w:color="auto"/>
              <w:left w:val="single" w:sz="4" w:space="0" w:color="auto"/>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 xml:space="preserve">The percentage of patients with coronary heart disease who are currently treated with a beta-blocker </w:t>
            </w:r>
          </w:p>
        </w:tc>
      </w:tr>
      <w:tr w:rsidR="00645A76" w:rsidTr="00896462">
        <w:trPr>
          <w:gridAfter w:val="1"/>
          <w:wAfter w:w="548" w:type="dxa"/>
          <w:trHeight w:val="510"/>
        </w:trPr>
        <w:tc>
          <w:tcPr>
            <w:tcW w:w="1433" w:type="dxa"/>
            <w:gridSpan w:val="2"/>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CKD2</w:t>
            </w:r>
          </w:p>
        </w:tc>
        <w:tc>
          <w:tcPr>
            <w:tcW w:w="992" w:type="dxa"/>
            <w:gridSpan w:val="3"/>
            <w:tcBorders>
              <w:top w:val="nil"/>
              <w:left w:val="nil"/>
              <w:bottom w:val="single" w:sz="4" w:space="0" w:color="auto"/>
              <w:right w:val="nil"/>
            </w:tcBorders>
            <w:noWrap/>
            <w:vAlign w:val="center"/>
          </w:tcPr>
          <w:p w:rsidR="00645A76" w:rsidRPr="000A5B35" w:rsidRDefault="00645A76" w:rsidP="00896462">
            <w:pPr>
              <w:jc w:val="center"/>
              <w:rPr>
                <w:rFonts w:ascii="Arial" w:hAnsi="Arial" w:cs="Arial"/>
              </w:rPr>
            </w:pPr>
            <w:r w:rsidRPr="000A5B35">
              <w:rPr>
                <w:rFonts w:ascii="Arial" w:hAnsi="Arial" w:cs="Arial"/>
              </w:rPr>
              <w:t>4</w:t>
            </w:r>
          </w:p>
        </w:tc>
        <w:tc>
          <w:tcPr>
            <w:tcW w:w="6681" w:type="dxa"/>
            <w:gridSpan w:val="5"/>
            <w:tcBorders>
              <w:top w:val="nil"/>
              <w:left w:val="single" w:sz="4" w:space="0" w:color="auto"/>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on the CKD register whose notes have a record of blood pressure in the preceding 15 months</w:t>
            </w:r>
          </w:p>
        </w:tc>
      </w:tr>
      <w:tr w:rsidR="00645A76" w:rsidTr="00896462">
        <w:trPr>
          <w:gridAfter w:val="1"/>
          <w:wAfter w:w="548" w:type="dxa"/>
          <w:trHeight w:val="735"/>
        </w:trPr>
        <w:tc>
          <w:tcPr>
            <w:tcW w:w="1433" w:type="dxa"/>
            <w:gridSpan w:val="2"/>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DM10</w:t>
            </w:r>
          </w:p>
        </w:tc>
        <w:tc>
          <w:tcPr>
            <w:tcW w:w="992" w:type="dxa"/>
            <w:gridSpan w:val="3"/>
            <w:tcBorders>
              <w:top w:val="nil"/>
              <w:left w:val="nil"/>
              <w:bottom w:val="single" w:sz="4" w:space="0" w:color="auto"/>
              <w:right w:val="nil"/>
            </w:tcBorders>
            <w:noWrap/>
            <w:vAlign w:val="center"/>
          </w:tcPr>
          <w:p w:rsidR="00645A76" w:rsidRPr="000A5B35" w:rsidRDefault="00645A76" w:rsidP="00896462">
            <w:pPr>
              <w:jc w:val="center"/>
              <w:rPr>
                <w:rFonts w:ascii="Arial" w:hAnsi="Arial" w:cs="Arial"/>
              </w:rPr>
            </w:pPr>
            <w:r w:rsidRPr="000A5B35">
              <w:rPr>
                <w:rFonts w:ascii="Arial" w:hAnsi="Arial" w:cs="Arial"/>
              </w:rPr>
              <w:t>3</w:t>
            </w:r>
          </w:p>
        </w:tc>
        <w:tc>
          <w:tcPr>
            <w:tcW w:w="6681" w:type="dxa"/>
            <w:gridSpan w:val="5"/>
            <w:tcBorders>
              <w:top w:val="nil"/>
              <w:left w:val="single" w:sz="4" w:space="0" w:color="auto"/>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with diabetes with a record of neuropathy testing in the preceding 15 months</w:t>
            </w:r>
          </w:p>
        </w:tc>
      </w:tr>
      <w:tr w:rsidR="00645A76" w:rsidTr="00896462">
        <w:trPr>
          <w:gridAfter w:val="1"/>
          <w:wAfter w:w="548" w:type="dxa"/>
          <w:trHeight w:val="615"/>
        </w:trPr>
        <w:tc>
          <w:tcPr>
            <w:tcW w:w="1433" w:type="dxa"/>
            <w:gridSpan w:val="2"/>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DM2</w:t>
            </w:r>
          </w:p>
        </w:tc>
        <w:tc>
          <w:tcPr>
            <w:tcW w:w="992" w:type="dxa"/>
            <w:gridSpan w:val="3"/>
            <w:tcBorders>
              <w:top w:val="nil"/>
              <w:left w:val="nil"/>
              <w:bottom w:val="single" w:sz="4" w:space="0" w:color="auto"/>
              <w:right w:val="nil"/>
            </w:tcBorders>
            <w:noWrap/>
            <w:vAlign w:val="center"/>
          </w:tcPr>
          <w:p w:rsidR="00645A76" w:rsidRPr="000A5B35" w:rsidRDefault="00645A76" w:rsidP="00896462">
            <w:pPr>
              <w:jc w:val="center"/>
              <w:rPr>
                <w:rFonts w:ascii="Arial" w:hAnsi="Arial" w:cs="Arial"/>
              </w:rPr>
            </w:pPr>
            <w:r w:rsidRPr="000A5B35">
              <w:rPr>
                <w:rFonts w:ascii="Arial" w:hAnsi="Arial" w:cs="Arial"/>
              </w:rPr>
              <w:t>1</w:t>
            </w:r>
          </w:p>
        </w:tc>
        <w:tc>
          <w:tcPr>
            <w:tcW w:w="6681" w:type="dxa"/>
            <w:gridSpan w:val="5"/>
            <w:tcBorders>
              <w:top w:val="nil"/>
              <w:left w:val="single" w:sz="4" w:space="0" w:color="auto"/>
              <w:bottom w:val="single" w:sz="4" w:space="0" w:color="auto"/>
              <w:right w:val="single" w:sz="4" w:space="0" w:color="auto"/>
            </w:tcBorders>
            <w:shd w:val="clear" w:color="auto" w:fill="FFFFFF"/>
          </w:tcPr>
          <w:p w:rsidR="00645A76" w:rsidRPr="000A5B35" w:rsidRDefault="00645A76" w:rsidP="00896462">
            <w:pPr>
              <w:rPr>
                <w:rFonts w:ascii="Arial" w:hAnsi="Arial" w:cs="Arial"/>
              </w:rPr>
            </w:pPr>
            <w:r w:rsidRPr="000A5B35">
              <w:rPr>
                <w:rFonts w:ascii="Arial" w:hAnsi="Arial" w:cs="Arial"/>
              </w:rPr>
              <w:t>The percentage of patients with diabetes whose notes record BMI in the preceding 15 months</w:t>
            </w:r>
          </w:p>
        </w:tc>
      </w:tr>
      <w:tr w:rsidR="00645A76" w:rsidTr="00896462">
        <w:trPr>
          <w:gridAfter w:val="1"/>
          <w:wAfter w:w="548" w:type="dxa"/>
          <w:trHeight w:val="765"/>
        </w:trPr>
        <w:tc>
          <w:tcPr>
            <w:tcW w:w="1433" w:type="dxa"/>
            <w:gridSpan w:val="2"/>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lastRenderedPageBreak/>
              <w:t>DM22</w:t>
            </w:r>
          </w:p>
        </w:tc>
        <w:tc>
          <w:tcPr>
            <w:tcW w:w="992" w:type="dxa"/>
            <w:gridSpan w:val="3"/>
            <w:tcBorders>
              <w:top w:val="nil"/>
              <w:left w:val="nil"/>
              <w:bottom w:val="single" w:sz="4" w:space="0" w:color="auto"/>
              <w:right w:val="nil"/>
            </w:tcBorders>
            <w:noWrap/>
            <w:vAlign w:val="center"/>
          </w:tcPr>
          <w:p w:rsidR="00645A76" w:rsidRPr="000A5B35" w:rsidRDefault="00645A76" w:rsidP="00896462">
            <w:pPr>
              <w:jc w:val="center"/>
              <w:rPr>
                <w:rFonts w:ascii="Arial" w:hAnsi="Arial" w:cs="Arial"/>
              </w:rPr>
            </w:pPr>
            <w:r w:rsidRPr="000A5B35">
              <w:rPr>
                <w:rFonts w:ascii="Arial" w:hAnsi="Arial" w:cs="Arial"/>
              </w:rPr>
              <w:t>1</w:t>
            </w:r>
          </w:p>
        </w:tc>
        <w:tc>
          <w:tcPr>
            <w:tcW w:w="6681" w:type="dxa"/>
            <w:gridSpan w:val="5"/>
            <w:tcBorders>
              <w:top w:val="nil"/>
              <w:left w:val="single" w:sz="4" w:space="0" w:color="auto"/>
              <w:bottom w:val="single" w:sz="4" w:space="0" w:color="auto"/>
              <w:right w:val="single" w:sz="4" w:space="0" w:color="auto"/>
            </w:tcBorders>
            <w:shd w:val="clear" w:color="auto" w:fill="FFFFFF"/>
          </w:tcPr>
          <w:p w:rsidR="00645A76" w:rsidRPr="000A5B35" w:rsidRDefault="00645A76" w:rsidP="00896462">
            <w:pPr>
              <w:rPr>
                <w:rFonts w:ascii="Arial" w:hAnsi="Arial" w:cs="Arial"/>
              </w:rPr>
            </w:pPr>
            <w:r w:rsidRPr="000A5B35">
              <w:rPr>
                <w:rFonts w:ascii="Arial" w:hAnsi="Arial" w:cs="Arial"/>
              </w:rPr>
              <w:t>The percentage of patients with diabetes who have a record of estimated glomerular filtration rate (eGFR) or serum creatinine testing in the preceding 15 months</w:t>
            </w:r>
          </w:p>
        </w:tc>
      </w:tr>
      <w:tr w:rsidR="00645A76" w:rsidTr="00896462">
        <w:trPr>
          <w:gridAfter w:val="1"/>
          <w:wAfter w:w="548" w:type="dxa"/>
          <w:trHeight w:val="765"/>
        </w:trPr>
        <w:tc>
          <w:tcPr>
            <w:tcW w:w="1433" w:type="dxa"/>
            <w:gridSpan w:val="2"/>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EPILEPSY 6</w:t>
            </w:r>
          </w:p>
        </w:tc>
        <w:tc>
          <w:tcPr>
            <w:tcW w:w="992" w:type="dxa"/>
            <w:gridSpan w:val="3"/>
            <w:tcBorders>
              <w:top w:val="nil"/>
              <w:left w:val="nil"/>
              <w:bottom w:val="single" w:sz="4" w:space="0" w:color="auto"/>
              <w:right w:val="nil"/>
            </w:tcBorders>
            <w:noWrap/>
            <w:vAlign w:val="center"/>
          </w:tcPr>
          <w:p w:rsidR="00645A76" w:rsidRPr="000A5B35" w:rsidRDefault="00645A76" w:rsidP="00896462">
            <w:pPr>
              <w:jc w:val="center"/>
              <w:rPr>
                <w:rFonts w:ascii="Arial" w:hAnsi="Arial" w:cs="Arial"/>
              </w:rPr>
            </w:pPr>
            <w:r w:rsidRPr="000A5B35">
              <w:rPr>
                <w:rFonts w:ascii="Arial" w:hAnsi="Arial" w:cs="Arial"/>
              </w:rPr>
              <w:t>4</w:t>
            </w:r>
          </w:p>
        </w:tc>
        <w:tc>
          <w:tcPr>
            <w:tcW w:w="6681" w:type="dxa"/>
            <w:gridSpan w:val="5"/>
            <w:tcBorders>
              <w:top w:val="nil"/>
              <w:left w:val="single" w:sz="4" w:space="0" w:color="auto"/>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aged 18 years and over on drug treatment for epilepsy who have a record of seizure frequency in the preceding 15 months</w:t>
            </w:r>
          </w:p>
        </w:tc>
      </w:tr>
      <w:tr w:rsidR="00645A76" w:rsidTr="00896462">
        <w:trPr>
          <w:gridAfter w:val="1"/>
          <w:wAfter w:w="548" w:type="dxa"/>
          <w:trHeight w:val="510"/>
        </w:trPr>
        <w:tc>
          <w:tcPr>
            <w:tcW w:w="1433" w:type="dxa"/>
            <w:gridSpan w:val="2"/>
            <w:tcBorders>
              <w:top w:val="nil"/>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rPr>
            </w:pPr>
            <w:r w:rsidRPr="000A5B35">
              <w:rPr>
                <w:rFonts w:ascii="Arial" w:hAnsi="Arial" w:cs="Arial"/>
              </w:rPr>
              <w:t>BP4</w:t>
            </w:r>
          </w:p>
        </w:tc>
        <w:tc>
          <w:tcPr>
            <w:tcW w:w="992" w:type="dxa"/>
            <w:gridSpan w:val="3"/>
            <w:tcBorders>
              <w:top w:val="nil"/>
              <w:left w:val="nil"/>
              <w:bottom w:val="single" w:sz="4" w:space="0" w:color="auto"/>
              <w:right w:val="nil"/>
            </w:tcBorders>
            <w:noWrap/>
            <w:vAlign w:val="center"/>
          </w:tcPr>
          <w:p w:rsidR="00645A76" w:rsidRPr="000A5B35" w:rsidRDefault="00645A76" w:rsidP="00896462">
            <w:pPr>
              <w:jc w:val="center"/>
              <w:rPr>
                <w:rFonts w:ascii="Arial" w:hAnsi="Arial" w:cs="Arial"/>
              </w:rPr>
            </w:pPr>
            <w:r w:rsidRPr="000A5B35">
              <w:rPr>
                <w:rFonts w:ascii="Arial" w:hAnsi="Arial" w:cs="Arial"/>
              </w:rPr>
              <w:t>8</w:t>
            </w:r>
          </w:p>
        </w:tc>
        <w:tc>
          <w:tcPr>
            <w:tcW w:w="6681" w:type="dxa"/>
            <w:gridSpan w:val="5"/>
            <w:tcBorders>
              <w:top w:val="nil"/>
              <w:left w:val="single" w:sz="4" w:space="0" w:color="auto"/>
              <w:bottom w:val="single" w:sz="4" w:space="0" w:color="auto"/>
              <w:right w:val="single" w:sz="4" w:space="0" w:color="auto"/>
            </w:tcBorders>
          </w:tcPr>
          <w:p w:rsidR="00645A76" w:rsidRPr="000A5B35" w:rsidRDefault="00645A76" w:rsidP="00896462">
            <w:pPr>
              <w:rPr>
                <w:rFonts w:ascii="Arial" w:hAnsi="Arial" w:cs="Arial"/>
              </w:rPr>
            </w:pPr>
            <w:r w:rsidRPr="000A5B35">
              <w:rPr>
                <w:rFonts w:ascii="Arial" w:hAnsi="Arial" w:cs="Arial"/>
              </w:rPr>
              <w:t>The percentage of patients with hypertension in whom there is a record of the blood pressure in the preceding nine months</w:t>
            </w:r>
          </w:p>
        </w:tc>
      </w:tr>
      <w:tr w:rsidR="00645A76" w:rsidTr="00896462">
        <w:trPr>
          <w:gridAfter w:val="1"/>
          <w:wAfter w:w="548" w:type="dxa"/>
          <w:trHeight w:val="255"/>
        </w:trPr>
        <w:tc>
          <w:tcPr>
            <w:tcW w:w="1433" w:type="dxa"/>
            <w:gridSpan w:val="2"/>
            <w:tcBorders>
              <w:top w:val="nil"/>
              <w:left w:val="single" w:sz="4" w:space="0" w:color="auto"/>
              <w:bottom w:val="single" w:sz="4" w:space="0" w:color="auto"/>
              <w:right w:val="single" w:sz="4" w:space="0" w:color="auto"/>
            </w:tcBorders>
            <w:noWrap/>
            <w:vAlign w:val="bottom"/>
          </w:tcPr>
          <w:p w:rsidR="00645A76" w:rsidRPr="000A5B35" w:rsidRDefault="00645A76" w:rsidP="00896462">
            <w:pPr>
              <w:jc w:val="center"/>
              <w:rPr>
                <w:rFonts w:ascii="Arial" w:hAnsi="Arial" w:cs="Arial"/>
                <w:b/>
                <w:bCs/>
              </w:rPr>
            </w:pPr>
            <w:r w:rsidRPr="000A5B35">
              <w:rPr>
                <w:rFonts w:ascii="Arial" w:hAnsi="Arial" w:cs="Arial"/>
                <w:b/>
                <w:bCs/>
              </w:rPr>
              <w:t>Total</w:t>
            </w:r>
          </w:p>
        </w:tc>
        <w:tc>
          <w:tcPr>
            <w:tcW w:w="992" w:type="dxa"/>
            <w:gridSpan w:val="3"/>
            <w:tcBorders>
              <w:top w:val="nil"/>
              <w:left w:val="nil"/>
              <w:bottom w:val="single" w:sz="4" w:space="0" w:color="auto"/>
              <w:right w:val="single" w:sz="4" w:space="0" w:color="auto"/>
            </w:tcBorders>
            <w:noWrap/>
            <w:vAlign w:val="bottom"/>
          </w:tcPr>
          <w:p w:rsidR="00645A76" w:rsidRPr="000A5B35" w:rsidRDefault="00645A76" w:rsidP="00896462">
            <w:pPr>
              <w:jc w:val="center"/>
              <w:rPr>
                <w:rFonts w:ascii="Arial" w:hAnsi="Arial" w:cs="Arial"/>
                <w:b/>
                <w:bCs/>
              </w:rPr>
            </w:pPr>
            <w:r w:rsidRPr="000A5B35">
              <w:rPr>
                <w:rFonts w:ascii="Arial" w:hAnsi="Arial" w:cs="Arial"/>
                <w:b/>
                <w:bCs/>
              </w:rPr>
              <w:t>28</w:t>
            </w:r>
          </w:p>
        </w:tc>
        <w:tc>
          <w:tcPr>
            <w:tcW w:w="6681" w:type="dxa"/>
            <w:gridSpan w:val="5"/>
            <w:tcBorders>
              <w:top w:val="nil"/>
              <w:left w:val="nil"/>
              <w:bottom w:val="single" w:sz="4" w:space="0" w:color="auto"/>
              <w:right w:val="single" w:sz="4" w:space="0" w:color="auto"/>
            </w:tcBorders>
            <w:noWrap/>
            <w:vAlign w:val="bottom"/>
          </w:tcPr>
          <w:p w:rsidR="00645A76" w:rsidRPr="000A5B35" w:rsidRDefault="00645A76" w:rsidP="00896462">
            <w:pPr>
              <w:jc w:val="center"/>
              <w:rPr>
                <w:rFonts w:ascii="Arial" w:hAnsi="Arial" w:cs="Arial"/>
                <w:b/>
                <w:bCs/>
              </w:rPr>
            </w:pPr>
            <w:r w:rsidRPr="000A5B35">
              <w:rPr>
                <w:rFonts w:ascii="Arial" w:hAnsi="Arial" w:cs="Arial"/>
                <w:b/>
                <w:bCs/>
              </w:rPr>
              <w:t> </w:t>
            </w:r>
          </w:p>
        </w:tc>
      </w:tr>
      <w:tr w:rsidR="00645A76" w:rsidTr="00896462">
        <w:trPr>
          <w:gridAfter w:val="2"/>
          <w:wAfter w:w="567" w:type="dxa"/>
          <w:trHeight w:val="917"/>
        </w:trPr>
        <w:tc>
          <w:tcPr>
            <w:tcW w:w="1433" w:type="dxa"/>
            <w:gridSpan w:val="2"/>
            <w:tcBorders>
              <w:top w:val="single" w:sz="4" w:space="0" w:color="auto"/>
              <w:left w:val="single" w:sz="4" w:space="0" w:color="auto"/>
              <w:bottom w:val="single" w:sz="4" w:space="0" w:color="auto"/>
              <w:right w:val="single" w:sz="4" w:space="0" w:color="auto"/>
            </w:tcBorders>
            <w:vAlign w:val="center"/>
          </w:tcPr>
          <w:p w:rsidR="00645A76" w:rsidRPr="000A5B35" w:rsidRDefault="00645A76" w:rsidP="00896462">
            <w:pPr>
              <w:jc w:val="center"/>
              <w:rPr>
                <w:rFonts w:ascii="Arial" w:hAnsi="Arial" w:cs="Arial"/>
                <w:b/>
                <w:bCs/>
              </w:rPr>
            </w:pPr>
            <w:r w:rsidRPr="000A5B35">
              <w:rPr>
                <w:rFonts w:ascii="Arial" w:hAnsi="Arial" w:cs="Arial"/>
                <w:b/>
                <w:bCs/>
              </w:rPr>
              <w:t xml:space="preserve">Total released by retirements </w:t>
            </w:r>
          </w:p>
        </w:tc>
        <w:tc>
          <w:tcPr>
            <w:tcW w:w="992" w:type="dxa"/>
            <w:gridSpan w:val="3"/>
            <w:tcBorders>
              <w:top w:val="single" w:sz="4" w:space="0" w:color="auto"/>
              <w:left w:val="nil"/>
              <w:bottom w:val="single" w:sz="4" w:space="0" w:color="auto"/>
              <w:right w:val="single" w:sz="4" w:space="0" w:color="auto"/>
            </w:tcBorders>
            <w:noWrap/>
            <w:vAlign w:val="center"/>
          </w:tcPr>
          <w:p w:rsidR="00645A76" w:rsidRPr="000A5B35" w:rsidRDefault="00645A76" w:rsidP="00896462">
            <w:pPr>
              <w:jc w:val="center"/>
              <w:rPr>
                <w:rFonts w:ascii="Arial" w:hAnsi="Arial" w:cs="Arial"/>
                <w:b/>
                <w:bCs/>
              </w:rPr>
            </w:pPr>
            <w:r w:rsidRPr="000A5B35">
              <w:rPr>
                <w:rFonts w:ascii="Arial" w:hAnsi="Arial" w:cs="Arial"/>
                <w:b/>
                <w:bCs/>
              </w:rPr>
              <w:t>165</w:t>
            </w:r>
          </w:p>
        </w:tc>
        <w:tc>
          <w:tcPr>
            <w:tcW w:w="6662" w:type="dxa"/>
            <w:gridSpan w:val="4"/>
            <w:tcBorders>
              <w:top w:val="single" w:sz="4" w:space="0" w:color="auto"/>
              <w:left w:val="nil"/>
              <w:bottom w:val="single" w:sz="4" w:space="0" w:color="auto"/>
              <w:right w:val="single" w:sz="4" w:space="0" w:color="auto"/>
            </w:tcBorders>
            <w:noWrap/>
            <w:vAlign w:val="bottom"/>
          </w:tcPr>
          <w:p w:rsidR="00645A76" w:rsidRPr="000A5B35" w:rsidRDefault="00645A76" w:rsidP="00896462">
            <w:pPr>
              <w:rPr>
                <w:rFonts w:ascii="Arial" w:hAnsi="Arial" w:cs="Arial"/>
              </w:rPr>
            </w:pPr>
            <w:r w:rsidRPr="000A5B35">
              <w:rPr>
                <w:rFonts w:ascii="Arial" w:hAnsi="Arial" w:cs="Arial"/>
              </w:rPr>
              <w:t> </w:t>
            </w:r>
          </w:p>
        </w:tc>
      </w:tr>
    </w:tbl>
    <w:p w:rsidR="00645A76" w:rsidRDefault="00645A76" w:rsidP="00645A76"/>
    <w:tbl>
      <w:tblPr>
        <w:tblW w:w="9938" w:type="dxa"/>
        <w:tblInd w:w="93" w:type="dxa"/>
        <w:tblLayout w:type="fixed"/>
        <w:tblLook w:val="0000" w:firstRow="0" w:lastRow="0" w:firstColumn="0" w:lastColumn="0" w:noHBand="0" w:noVBand="0"/>
      </w:tblPr>
      <w:tblGrid>
        <w:gridCol w:w="7074"/>
        <w:gridCol w:w="1163"/>
        <w:gridCol w:w="850"/>
        <w:gridCol w:w="851"/>
      </w:tblGrid>
      <w:tr w:rsidR="00645A76" w:rsidTr="00896462">
        <w:trPr>
          <w:trHeight w:val="315"/>
        </w:trPr>
        <w:tc>
          <w:tcPr>
            <w:tcW w:w="7074" w:type="dxa"/>
            <w:tcBorders>
              <w:top w:val="nil"/>
              <w:left w:val="nil"/>
              <w:bottom w:val="nil"/>
              <w:right w:val="nil"/>
            </w:tcBorders>
            <w:noWrap/>
            <w:vAlign w:val="bottom"/>
          </w:tcPr>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r>
              <w:rPr>
                <w:rFonts w:ascii="Arial" w:hAnsi="Arial" w:cs="Arial"/>
                <w:b/>
                <w:bCs/>
                <w:sz w:val="24"/>
                <w:szCs w:val="24"/>
              </w:rPr>
              <w:t>Points retained in OD - Medicines Management</w:t>
            </w:r>
          </w:p>
          <w:p w:rsidR="00645A76" w:rsidRDefault="00645A76" w:rsidP="00896462">
            <w:pPr>
              <w:rPr>
                <w:rFonts w:ascii="Arial" w:hAnsi="Arial" w:cs="Arial"/>
                <w:b/>
                <w:bCs/>
                <w:sz w:val="24"/>
                <w:szCs w:val="24"/>
              </w:rPr>
            </w:pPr>
          </w:p>
          <w:tbl>
            <w:tblPr>
              <w:tblW w:w="6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992"/>
              <w:gridCol w:w="4536"/>
            </w:tblGrid>
            <w:tr w:rsidR="00645A76" w:rsidRPr="001D0754" w:rsidTr="00896462">
              <w:tc>
                <w:tcPr>
                  <w:tcW w:w="1320"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b/>
                      <w:bCs/>
                    </w:rPr>
                  </w:pPr>
                  <w:r w:rsidRPr="001D0754">
                    <w:rPr>
                      <w:rFonts w:ascii="Arial" w:hAnsi="Arial" w:cs="Arial"/>
                      <w:b/>
                      <w:bCs/>
                    </w:rPr>
                    <w:t>QOF ID</w:t>
                  </w:r>
                </w:p>
              </w:tc>
              <w:tc>
                <w:tcPr>
                  <w:tcW w:w="992"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b/>
                      <w:bCs/>
                    </w:rPr>
                  </w:pPr>
                  <w:r w:rsidRPr="001D0754">
                    <w:rPr>
                      <w:rFonts w:ascii="Arial" w:hAnsi="Arial" w:cs="Arial"/>
                      <w:b/>
                      <w:bCs/>
                    </w:rPr>
                    <w:t>13/14 points</w:t>
                  </w:r>
                </w:p>
              </w:tc>
              <w:tc>
                <w:tcPr>
                  <w:tcW w:w="4536"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b/>
                      <w:bCs/>
                    </w:rPr>
                  </w:pPr>
                  <w:r w:rsidRPr="001D0754">
                    <w:rPr>
                      <w:rFonts w:ascii="Arial" w:hAnsi="Arial" w:cs="Arial"/>
                      <w:b/>
                      <w:bCs/>
                    </w:rPr>
                    <w:t>Indicator wording</w:t>
                  </w:r>
                </w:p>
              </w:tc>
            </w:tr>
            <w:tr w:rsidR="00645A76" w:rsidRPr="001D0754" w:rsidTr="00896462">
              <w:tc>
                <w:tcPr>
                  <w:tcW w:w="1320"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rPr>
                  </w:pPr>
                  <w:r w:rsidRPr="001D0754">
                    <w:rPr>
                      <w:rFonts w:ascii="Arial" w:hAnsi="Arial" w:cs="Arial"/>
                    </w:rPr>
                    <w:t>NM6</w:t>
                  </w:r>
                </w:p>
              </w:tc>
              <w:tc>
                <w:tcPr>
                  <w:tcW w:w="992"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rPr>
                  </w:pPr>
                  <w:r w:rsidRPr="001D0754">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rPr>
                      <w:rFonts w:ascii="Arial" w:hAnsi="Arial" w:cs="Arial"/>
                    </w:rPr>
                  </w:pPr>
                  <w:r w:rsidRPr="001D0754">
                    <w:rPr>
                      <w:rFonts w:ascii="Arial" w:hAnsi="Arial" w:cs="Arial"/>
                    </w:rPr>
                    <w:t>The practice meets the PCO prescribing adviser at least annually and agrees up to three actions related to prescribing.</w:t>
                  </w:r>
                </w:p>
                <w:p w:rsidR="00645A76" w:rsidRPr="001D0754" w:rsidRDefault="00645A76" w:rsidP="00896462">
                  <w:pPr>
                    <w:rPr>
                      <w:rFonts w:ascii="Arial" w:hAnsi="Arial" w:cs="Arial"/>
                      <w:b/>
                      <w:bCs/>
                      <w:sz w:val="24"/>
                      <w:szCs w:val="24"/>
                    </w:rPr>
                  </w:pPr>
                </w:p>
              </w:tc>
            </w:tr>
            <w:tr w:rsidR="00645A76" w:rsidRPr="001D0754" w:rsidTr="00896462">
              <w:tc>
                <w:tcPr>
                  <w:tcW w:w="1320"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rPr>
                  </w:pPr>
                  <w:r w:rsidRPr="001D0754">
                    <w:rPr>
                      <w:rFonts w:ascii="Arial" w:hAnsi="Arial" w:cs="Arial"/>
                    </w:rPr>
                    <w:t>NM10</w:t>
                  </w:r>
                </w:p>
              </w:tc>
              <w:tc>
                <w:tcPr>
                  <w:tcW w:w="992"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rPr>
                  </w:pPr>
                  <w:r w:rsidRPr="001D0754">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rPr>
                      <w:rFonts w:ascii="Arial" w:hAnsi="Arial" w:cs="Arial"/>
                    </w:rPr>
                  </w:pPr>
                  <w:r w:rsidRPr="001D0754">
                    <w:rPr>
                      <w:rFonts w:ascii="Arial" w:hAnsi="Arial" w:cs="Arial"/>
                    </w:rPr>
                    <w:t>The practice meets the PCO prescribing adviser at least annually, has agreed up to three actions related to prescribing and subsequently provided evidence of change.</w:t>
                  </w:r>
                </w:p>
                <w:p w:rsidR="00645A76" w:rsidRPr="001D0754" w:rsidRDefault="00645A76" w:rsidP="00896462">
                  <w:pPr>
                    <w:rPr>
                      <w:rFonts w:ascii="Arial" w:hAnsi="Arial" w:cs="Arial"/>
                      <w:b/>
                      <w:bCs/>
                      <w:sz w:val="24"/>
                      <w:szCs w:val="24"/>
                    </w:rPr>
                  </w:pPr>
                </w:p>
              </w:tc>
            </w:tr>
            <w:tr w:rsidR="00645A76" w:rsidRPr="001D0754" w:rsidTr="00896462">
              <w:tc>
                <w:tcPr>
                  <w:tcW w:w="1320"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rPr>
                  </w:pPr>
                  <w:r w:rsidRPr="001D0754">
                    <w:rPr>
                      <w:rFonts w:ascii="Arial" w:hAnsi="Arial" w:cs="Arial"/>
                    </w:rPr>
                    <w:t>NM11</w:t>
                  </w:r>
                </w:p>
              </w:tc>
              <w:tc>
                <w:tcPr>
                  <w:tcW w:w="992"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rPr>
                  </w:pPr>
                  <w:r w:rsidRPr="001D0754">
                    <w:rPr>
                      <w:rFonts w:ascii="Arial" w:hAnsi="Arial" w:cs="Arial"/>
                    </w:rPr>
                    <w:t>9</w:t>
                  </w:r>
                </w:p>
              </w:tc>
              <w:tc>
                <w:tcPr>
                  <w:tcW w:w="4536"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rPr>
                      <w:rFonts w:ascii="Arial" w:hAnsi="Arial" w:cs="Arial"/>
                    </w:rPr>
                  </w:pPr>
                  <w:r w:rsidRPr="001D0754">
                    <w:rPr>
                      <w:rFonts w:ascii="Arial" w:hAnsi="Arial" w:cs="Arial"/>
                    </w:rPr>
                    <w:t>A medication review is recorded in the notes in the preceding 15 months for all patients being prescribed 4 or more repeat medicines Standard 80%.</w:t>
                  </w:r>
                </w:p>
                <w:p w:rsidR="00645A76" w:rsidRPr="001D0754" w:rsidRDefault="00645A76" w:rsidP="00896462">
                  <w:pPr>
                    <w:rPr>
                      <w:rFonts w:ascii="Arial" w:hAnsi="Arial" w:cs="Arial"/>
                    </w:rPr>
                  </w:pPr>
                </w:p>
              </w:tc>
            </w:tr>
            <w:tr w:rsidR="00645A76" w:rsidRPr="001D0754" w:rsidTr="00896462">
              <w:tc>
                <w:tcPr>
                  <w:tcW w:w="1320"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b/>
                    </w:rPr>
                  </w:pPr>
                  <w:r w:rsidRPr="001D0754">
                    <w:rPr>
                      <w:rFonts w:ascii="Arial" w:hAnsi="Arial" w:cs="Arial"/>
                      <w:b/>
                    </w:rPr>
                    <w:t>Total</w:t>
                  </w:r>
                </w:p>
              </w:tc>
              <w:tc>
                <w:tcPr>
                  <w:tcW w:w="992"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jc w:val="center"/>
                    <w:rPr>
                      <w:rFonts w:ascii="Arial" w:hAnsi="Arial" w:cs="Arial"/>
                      <w:b/>
                    </w:rPr>
                  </w:pPr>
                  <w:r w:rsidRPr="001D0754">
                    <w:rPr>
                      <w:rFonts w:ascii="Arial" w:hAnsi="Arial" w:cs="Arial"/>
                      <w:b/>
                    </w:rPr>
                    <w:t>23</w:t>
                  </w:r>
                </w:p>
                <w:p w:rsidR="00645A76" w:rsidRPr="001D0754" w:rsidRDefault="00645A76" w:rsidP="00896462">
                  <w:pPr>
                    <w:jc w:val="center"/>
                    <w:rPr>
                      <w:rFonts w:ascii="Arial" w:hAnsi="Arial" w:cs="Arial"/>
                      <w:b/>
                    </w:rPr>
                  </w:pPr>
                </w:p>
              </w:tc>
              <w:tc>
                <w:tcPr>
                  <w:tcW w:w="4536" w:type="dxa"/>
                  <w:tcBorders>
                    <w:top w:val="single" w:sz="4" w:space="0" w:color="auto"/>
                    <w:left w:val="single" w:sz="4" w:space="0" w:color="auto"/>
                    <w:bottom w:val="single" w:sz="4" w:space="0" w:color="auto"/>
                    <w:right w:val="single" w:sz="4" w:space="0" w:color="auto"/>
                  </w:tcBorders>
                </w:tcPr>
                <w:p w:rsidR="00645A76" w:rsidRPr="001D0754" w:rsidRDefault="00645A76" w:rsidP="00896462">
                  <w:pPr>
                    <w:rPr>
                      <w:rFonts w:ascii="Arial" w:hAnsi="Arial" w:cs="Arial"/>
                    </w:rPr>
                  </w:pPr>
                </w:p>
              </w:tc>
            </w:tr>
          </w:tbl>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Default="00645A76" w:rsidP="00896462">
            <w:pPr>
              <w:rPr>
                <w:rFonts w:ascii="Arial" w:hAnsi="Arial" w:cs="Arial"/>
                <w:b/>
                <w:bCs/>
                <w:sz w:val="24"/>
                <w:szCs w:val="24"/>
              </w:rPr>
            </w:pPr>
          </w:p>
          <w:p w:rsidR="00645A76" w:rsidRPr="00523760" w:rsidRDefault="00645A76" w:rsidP="00896462">
            <w:pPr>
              <w:rPr>
                <w:rFonts w:ascii="Arial" w:hAnsi="Arial" w:cs="Arial"/>
                <w:b/>
                <w:bCs/>
                <w:sz w:val="24"/>
                <w:szCs w:val="24"/>
              </w:rPr>
            </w:pPr>
            <w:r w:rsidRPr="00523760">
              <w:rPr>
                <w:rFonts w:ascii="Arial" w:hAnsi="Arial" w:cs="Arial"/>
                <w:b/>
                <w:bCs/>
                <w:sz w:val="24"/>
                <w:szCs w:val="24"/>
              </w:rPr>
              <w:lastRenderedPageBreak/>
              <w:t xml:space="preserve">Summary </w:t>
            </w:r>
            <w:r>
              <w:rPr>
                <w:rFonts w:ascii="Arial" w:hAnsi="Arial" w:cs="Arial"/>
                <w:b/>
                <w:bCs/>
                <w:sz w:val="24"/>
                <w:szCs w:val="24"/>
              </w:rPr>
              <w:t xml:space="preserve">of </w:t>
            </w:r>
            <w:r w:rsidRPr="00523760">
              <w:rPr>
                <w:rFonts w:ascii="Arial" w:hAnsi="Arial" w:cs="Arial"/>
                <w:b/>
                <w:bCs/>
                <w:sz w:val="24"/>
                <w:szCs w:val="24"/>
              </w:rPr>
              <w:t xml:space="preserve">points </w:t>
            </w:r>
            <w:r>
              <w:rPr>
                <w:rFonts w:ascii="Arial" w:hAnsi="Arial" w:cs="Arial"/>
                <w:b/>
                <w:bCs/>
                <w:sz w:val="24"/>
                <w:szCs w:val="24"/>
              </w:rPr>
              <w:t xml:space="preserve">being </w:t>
            </w:r>
            <w:r w:rsidRPr="00523760">
              <w:rPr>
                <w:rFonts w:ascii="Arial" w:hAnsi="Arial" w:cs="Arial"/>
                <w:b/>
                <w:bCs/>
                <w:sz w:val="24"/>
                <w:szCs w:val="24"/>
              </w:rPr>
              <w:t>re</w:t>
            </w:r>
            <w:r>
              <w:rPr>
                <w:rFonts w:ascii="Arial" w:hAnsi="Arial" w:cs="Arial"/>
                <w:b/>
                <w:bCs/>
                <w:sz w:val="24"/>
                <w:szCs w:val="24"/>
              </w:rPr>
              <w:t>used in contract</w:t>
            </w:r>
          </w:p>
        </w:tc>
        <w:tc>
          <w:tcPr>
            <w:tcW w:w="1163" w:type="dxa"/>
            <w:tcBorders>
              <w:top w:val="nil"/>
              <w:left w:val="nil"/>
              <w:bottom w:val="nil"/>
              <w:right w:val="nil"/>
            </w:tcBorders>
            <w:noWrap/>
            <w:vAlign w:val="bottom"/>
          </w:tcPr>
          <w:p w:rsidR="00645A76" w:rsidRPr="00523760" w:rsidRDefault="00645A76" w:rsidP="00896462">
            <w:pPr>
              <w:rPr>
                <w:rFonts w:ascii="Arial" w:hAnsi="Arial" w:cs="Arial"/>
              </w:rPr>
            </w:pPr>
          </w:p>
        </w:tc>
        <w:tc>
          <w:tcPr>
            <w:tcW w:w="850" w:type="dxa"/>
            <w:tcBorders>
              <w:top w:val="nil"/>
              <w:left w:val="nil"/>
              <w:bottom w:val="nil"/>
              <w:right w:val="nil"/>
            </w:tcBorders>
            <w:noWrap/>
            <w:vAlign w:val="bottom"/>
          </w:tcPr>
          <w:p w:rsidR="00645A76" w:rsidRPr="00523760" w:rsidRDefault="00645A76" w:rsidP="00896462">
            <w:pPr>
              <w:rPr>
                <w:rFonts w:ascii="Arial" w:hAnsi="Arial" w:cs="Arial"/>
              </w:rPr>
            </w:pP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single" w:sz="8" w:space="0" w:color="auto"/>
              <w:left w:val="single" w:sz="8" w:space="0" w:color="auto"/>
              <w:bottom w:val="single" w:sz="4" w:space="0" w:color="auto"/>
              <w:right w:val="single" w:sz="4" w:space="0" w:color="auto"/>
            </w:tcBorders>
            <w:noWrap/>
            <w:vAlign w:val="bottom"/>
          </w:tcPr>
          <w:p w:rsidR="00645A76" w:rsidRDefault="00645A76" w:rsidP="00896462">
            <w:pPr>
              <w:rPr>
                <w:rFonts w:ascii="Arial" w:hAnsi="Arial" w:cs="Arial"/>
                <w:b/>
                <w:bCs/>
              </w:rPr>
            </w:pPr>
            <w:r w:rsidRPr="00523760">
              <w:rPr>
                <w:rFonts w:ascii="Arial" w:hAnsi="Arial" w:cs="Arial"/>
                <w:b/>
                <w:bCs/>
              </w:rPr>
              <w:lastRenderedPageBreak/>
              <w:t>NICE recommendations for QOF: point calculations</w:t>
            </w:r>
          </w:p>
          <w:p w:rsidR="00645A76" w:rsidRPr="00523760" w:rsidRDefault="00645A76" w:rsidP="00896462">
            <w:pPr>
              <w:rPr>
                <w:rFonts w:ascii="Arial" w:hAnsi="Arial" w:cs="Arial"/>
                <w:b/>
                <w:bCs/>
              </w:rPr>
            </w:pPr>
          </w:p>
        </w:tc>
        <w:tc>
          <w:tcPr>
            <w:tcW w:w="1163" w:type="dxa"/>
            <w:tcBorders>
              <w:top w:val="single" w:sz="8" w:space="0" w:color="auto"/>
              <w:left w:val="nil"/>
              <w:bottom w:val="single" w:sz="4" w:space="0" w:color="auto"/>
              <w:right w:val="single" w:sz="4" w:space="0" w:color="auto"/>
            </w:tcBorders>
            <w:noWrap/>
            <w:vAlign w:val="bottom"/>
          </w:tcPr>
          <w:p w:rsidR="00645A76" w:rsidRPr="00523760" w:rsidRDefault="00645A76" w:rsidP="00896462">
            <w:pPr>
              <w:rPr>
                <w:rFonts w:ascii="Arial" w:hAnsi="Arial" w:cs="Arial"/>
                <w:b/>
                <w:bCs/>
              </w:rPr>
            </w:pPr>
            <w:r w:rsidRPr="00523760">
              <w:rPr>
                <w:rFonts w:ascii="Arial" w:hAnsi="Arial" w:cs="Arial"/>
                <w:b/>
                <w:bCs/>
              </w:rPr>
              <w:t>Points</w:t>
            </w:r>
          </w:p>
        </w:tc>
        <w:tc>
          <w:tcPr>
            <w:tcW w:w="850" w:type="dxa"/>
            <w:tcBorders>
              <w:top w:val="single" w:sz="8" w:space="0" w:color="auto"/>
              <w:left w:val="nil"/>
              <w:bottom w:val="single" w:sz="4" w:space="0" w:color="auto"/>
              <w:right w:val="single" w:sz="8" w:space="0" w:color="auto"/>
            </w:tcBorders>
            <w:noWrap/>
            <w:vAlign w:val="bottom"/>
          </w:tcPr>
          <w:p w:rsidR="00645A76" w:rsidRPr="00523760" w:rsidRDefault="00645A76" w:rsidP="00896462">
            <w:pPr>
              <w:rPr>
                <w:rFonts w:ascii="Arial" w:hAnsi="Arial" w:cs="Arial"/>
                <w:b/>
                <w:bCs/>
              </w:rPr>
            </w:pPr>
            <w:r w:rsidRPr="00523760">
              <w:rPr>
                <w:rFonts w:ascii="Arial" w:hAnsi="Arial" w:cs="Arial"/>
                <w:b/>
                <w:bCs/>
              </w:rPr>
              <w:t>£m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 xml:space="preserve">Points required for new indicators </w:t>
            </w:r>
          </w:p>
          <w:p w:rsidR="00645A76" w:rsidRPr="00523760" w:rsidRDefault="00645A76" w:rsidP="00896462">
            <w:pPr>
              <w:rPr>
                <w:rFonts w:ascii="Arial" w:hAnsi="Arial" w:cs="Arial"/>
              </w:rPr>
            </w:pPr>
          </w:p>
        </w:tc>
        <w:tc>
          <w:tcPr>
            <w:tcW w:w="1163" w:type="dxa"/>
            <w:tcBorders>
              <w:top w:val="nil"/>
              <w:left w:val="nil"/>
              <w:bottom w:val="single" w:sz="4" w:space="0" w:color="auto"/>
              <w:right w:val="single" w:sz="4" w:space="0" w:color="auto"/>
            </w:tcBorders>
            <w:noWrap/>
            <w:vAlign w:val="bottom"/>
          </w:tcPr>
          <w:p w:rsidR="00645A76" w:rsidRPr="00523760" w:rsidRDefault="00645A76" w:rsidP="00896462">
            <w:pPr>
              <w:jc w:val="right"/>
              <w:rPr>
                <w:rFonts w:ascii="Arial" w:hAnsi="Arial" w:cs="Arial"/>
              </w:rPr>
            </w:pPr>
            <w:r>
              <w:rPr>
                <w:rFonts w:ascii="Arial" w:hAnsi="Arial" w:cs="Arial"/>
              </w:rPr>
              <w:t>52</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2.4m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ind w:right="430"/>
              <w:rPr>
                <w:rFonts w:ascii="Arial" w:hAnsi="Arial" w:cs="Arial"/>
              </w:rPr>
            </w:pPr>
            <w:r w:rsidRPr="00523760">
              <w:rPr>
                <w:rFonts w:ascii="Arial" w:hAnsi="Arial" w:cs="Arial"/>
              </w:rPr>
              <w:t>Points required for replacement indicators</w:t>
            </w:r>
          </w:p>
          <w:p w:rsidR="00645A76" w:rsidRPr="00523760" w:rsidRDefault="00645A76" w:rsidP="00896462">
            <w:pPr>
              <w:ind w:right="430"/>
              <w:rPr>
                <w:rFonts w:ascii="Arial" w:hAnsi="Arial" w:cs="Arial"/>
              </w:rPr>
            </w:pPr>
          </w:p>
        </w:tc>
        <w:tc>
          <w:tcPr>
            <w:tcW w:w="1163" w:type="dxa"/>
            <w:tcBorders>
              <w:top w:val="nil"/>
              <w:left w:val="nil"/>
              <w:bottom w:val="single" w:sz="4" w:space="0" w:color="auto"/>
              <w:right w:val="single" w:sz="4" w:space="0" w:color="auto"/>
            </w:tcBorders>
            <w:noWrap/>
            <w:vAlign w:val="bottom"/>
          </w:tcPr>
          <w:p w:rsidR="00645A76" w:rsidRPr="00523760" w:rsidRDefault="00645A76" w:rsidP="00896462">
            <w:pPr>
              <w:jc w:val="right"/>
              <w:rPr>
                <w:rFonts w:ascii="Arial" w:hAnsi="Arial" w:cs="Arial"/>
              </w:rPr>
            </w:pPr>
            <w:r>
              <w:rPr>
                <w:rFonts w:ascii="Arial" w:hAnsi="Arial" w:cs="Arial"/>
              </w:rPr>
              <w:t>84</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3.8m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b/>
                <w:bCs/>
              </w:rPr>
            </w:pPr>
            <w:r w:rsidRPr="00523760">
              <w:rPr>
                <w:rFonts w:ascii="Arial" w:hAnsi="Arial" w:cs="Arial"/>
                <w:b/>
                <w:bCs/>
              </w:rPr>
              <w:t>Total points required</w:t>
            </w:r>
          </w:p>
          <w:p w:rsidR="00645A76" w:rsidRPr="00523760" w:rsidRDefault="00645A76" w:rsidP="00896462">
            <w:pPr>
              <w:rPr>
                <w:rFonts w:ascii="Arial" w:hAnsi="Arial" w:cs="Arial"/>
                <w:b/>
                <w:bCs/>
              </w:rPr>
            </w:pPr>
          </w:p>
        </w:tc>
        <w:tc>
          <w:tcPr>
            <w:tcW w:w="1163" w:type="dxa"/>
            <w:tcBorders>
              <w:top w:val="nil"/>
              <w:left w:val="nil"/>
              <w:bottom w:val="single" w:sz="4" w:space="0" w:color="auto"/>
              <w:right w:val="single" w:sz="4"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136</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6.2m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Points available from retirements due to replacement</w:t>
            </w:r>
          </w:p>
          <w:p w:rsidR="00645A76" w:rsidRPr="00523760" w:rsidRDefault="00645A76" w:rsidP="00896462">
            <w:pPr>
              <w:rPr>
                <w:rFonts w:ascii="Arial" w:hAnsi="Arial" w:cs="Arial"/>
              </w:rPr>
            </w:pPr>
          </w:p>
        </w:tc>
        <w:tc>
          <w:tcPr>
            <w:tcW w:w="1163" w:type="dxa"/>
            <w:tcBorders>
              <w:top w:val="nil"/>
              <w:left w:val="nil"/>
              <w:bottom w:val="single" w:sz="4" w:space="0" w:color="auto"/>
              <w:right w:val="single" w:sz="4" w:space="0" w:color="auto"/>
            </w:tcBorders>
            <w:noWrap/>
            <w:vAlign w:val="bottom"/>
          </w:tcPr>
          <w:p w:rsidR="00645A76" w:rsidRPr="00523760" w:rsidRDefault="00645A76" w:rsidP="00896462">
            <w:pPr>
              <w:jc w:val="right"/>
              <w:rPr>
                <w:rFonts w:ascii="Arial" w:hAnsi="Arial" w:cs="Arial"/>
              </w:rPr>
            </w:pPr>
            <w:r>
              <w:rPr>
                <w:rFonts w:ascii="Arial" w:hAnsi="Arial" w:cs="Arial"/>
              </w:rPr>
              <w:t>82</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3.7m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Points available from retirements</w:t>
            </w:r>
          </w:p>
          <w:p w:rsidR="00645A76" w:rsidRPr="00523760" w:rsidRDefault="00645A76" w:rsidP="00896462">
            <w:pPr>
              <w:rPr>
                <w:rFonts w:ascii="Arial" w:hAnsi="Arial" w:cs="Arial"/>
              </w:rPr>
            </w:pPr>
          </w:p>
        </w:tc>
        <w:tc>
          <w:tcPr>
            <w:tcW w:w="1163" w:type="dxa"/>
            <w:tcBorders>
              <w:top w:val="nil"/>
              <w:left w:val="nil"/>
              <w:bottom w:val="single" w:sz="4" w:space="0" w:color="auto"/>
              <w:right w:val="single" w:sz="4" w:space="0" w:color="auto"/>
            </w:tcBorders>
            <w:noWrap/>
          </w:tcPr>
          <w:p w:rsidR="00645A76" w:rsidRDefault="00645A76" w:rsidP="00896462">
            <w:pPr>
              <w:jc w:val="right"/>
              <w:rPr>
                <w:rFonts w:ascii="Arial" w:hAnsi="Arial" w:cs="Arial"/>
              </w:rPr>
            </w:pPr>
          </w:p>
          <w:p w:rsidR="00645A76" w:rsidRPr="00523760" w:rsidRDefault="00645A76" w:rsidP="00896462">
            <w:pPr>
              <w:jc w:val="right"/>
              <w:rPr>
                <w:rFonts w:ascii="Arial" w:hAnsi="Arial" w:cs="Arial"/>
              </w:rPr>
            </w:pPr>
            <w:r w:rsidRPr="00523760">
              <w:rPr>
                <w:rFonts w:ascii="Arial" w:hAnsi="Arial" w:cs="Arial"/>
              </w:rPr>
              <w:t>28</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1.3m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Total points available from clinical domain</w:t>
            </w:r>
          </w:p>
          <w:p w:rsidR="00645A76" w:rsidRPr="00523760" w:rsidRDefault="00645A76" w:rsidP="00896462">
            <w:pPr>
              <w:rPr>
                <w:rFonts w:ascii="Arial" w:hAnsi="Arial" w:cs="Arial"/>
              </w:rPr>
            </w:pPr>
          </w:p>
        </w:tc>
        <w:tc>
          <w:tcPr>
            <w:tcW w:w="1163" w:type="dxa"/>
            <w:tcBorders>
              <w:top w:val="nil"/>
              <w:left w:val="nil"/>
              <w:bottom w:val="single" w:sz="4" w:space="0" w:color="auto"/>
              <w:right w:val="single" w:sz="4" w:space="0" w:color="auto"/>
            </w:tcBorders>
            <w:noWrap/>
            <w:vAlign w:val="bottom"/>
          </w:tcPr>
          <w:p w:rsidR="00645A76" w:rsidRPr="00523760" w:rsidRDefault="00645A76" w:rsidP="00896462">
            <w:pPr>
              <w:jc w:val="right"/>
              <w:rPr>
                <w:rFonts w:ascii="Arial" w:hAnsi="Arial" w:cs="Arial"/>
              </w:rPr>
            </w:pPr>
            <w:r w:rsidRPr="00523760">
              <w:rPr>
                <w:rFonts w:ascii="Arial" w:hAnsi="Arial" w:cs="Arial"/>
              </w:rPr>
              <w:t>1</w:t>
            </w:r>
            <w:r>
              <w:rPr>
                <w:rFonts w:ascii="Arial" w:hAnsi="Arial" w:cs="Arial"/>
              </w:rPr>
              <w:t>10</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5m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70"/>
        </w:trPr>
        <w:tc>
          <w:tcPr>
            <w:tcW w:w="7074" w:type="dxa"/>
            <w:tcBorders>
              <w:top w:val="nil"/>
              <w:left w:val="single" w:sz="8" w:space="0" w:color="auto"/>
              <w:bottom w:val="single" w:sz="8" w:space="0" w:color="auto"/>
              <w:right w:val="single" w:sz="4" w:space="0" w:color="auto"/>
            </w:tcBorders>
            <w:noWrap/>
            <w:vAlign w:val="bottom"/>
          </w:tcPr>
          <w:p w:rsidR="00645A76" w:rsidRDefault="00645A76" w:rsidP="00896462">
            <w:pPr>
              <w:rPr>
                <w:rFonts w:ascii="Arial" w:hAnsi="Arial" w:cs="Arial"/>
                <w:b/>
                <w:bCs/>
              </w:rPr>
            </w:pPr>
            <w:r w:rsidRPr="00523760">
              <w:rPr>
                <w:rFonts w:ascii="Arial" w:hAnsi="Arial" w:cs="Arial"/>
                <w:b/>
                <w:bCs/>
              </w:rPr>
              <w:t>Points required from organisational domain</w:t>
            </w:r>
          </w:p>
          <w:p w:rsidR="00645A76" w:rsidRPr="00523760" w:rsidRDefault="00645A76" w:rsidP="00896462">
            <w:pPr>
              <w:rPr>
                <w:rFonts w:ascii="Arial" w:hAnsi="Arial" w:cs="Arial"/>
                <w:b/>
                <w:bCs/>
              </w:rPr>
            </w:pPr>
          </w:p>
        </w:tc>
        <w:tc>
          <w:tcPr>
            <w:tcW w:w="1163" w:type="dxa"/>
            <w:tcBorders>
              <w:top w:val="nil"/>
              <w:left w:val="nil"/>
              <w:bottom w:val="single" w:sz="8" w:space="0" w:color="auto"/>
              <w:right w:val="single" w:sz="4"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26</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1.2m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70"/>
        </w:trPr>
        <w:tc>
          <w:tcPr>
            <w:tcW w:w="7074" w:type="dxa"/>
            <w:tcBorders>
              <w:top w:val="nil"/>
              <w:left w:val="nil"/>
              <w:bottom w:val="nil"/>
              <w:right w:val="nil"/>
            </w:tcBorders>
            <w:noWrap/>
            <w:vAlign w:val="bottom"/>
          </w:tcPr>
          <w:p w:rsidR="00645A76" w:rsidRPr="00523760" w:rsidRDefault="00645A76" w:rsidP="00896462">
            <w:pPr>
              <w:rPr>
                <w:rFonts w:ascii="Arial" w:hAnsi="Arial" w:cs="Arial"/>
              </w:rPr>
            </w:pPr>
          </w:p>
        </w:tc>
        <w:tc>
          <w:tcPr>
            <w:tcW w:w="1163" w:type="dxa"/>
            <w:tcBorders>
              <w:top w:val="nil"/>
              <w:left w:val="nil"/>
              <w:bottom w:val="nil"/>
              <w:right w:val="nil"/>
            </w:tcBorders>
            <w:noWrap/>
            <w:vAlign w:val="bottom"/>
          </w:tcPr>
          <w:p w:rsidR="00645A76" w:rsidRPr="00523760" w:rsidRDefault="00645A76" w:rsidP="00896462">
            <w:pPr>
              <w:rPr>
                <w:rFonts w:ascii="Arial" w:hAnsi="Arial" w:cs="Arial"/>
              </w:rPr>
            </w:pPr>
          </w:p>
        </w:tc>
        <w:tc>
          <w:tcPr>
            <w:tcW w:w="850" w:type="dxa"/>
            <w:tcBorders>
              <w:top w:val="nil"/>
              <w:left w:val="nil"/>
              <w:bottom w:val="nil"/>
              <w:right w:val="nil"/>
            </w:tcBorders>
            <w:noWrap/>
            <w:vAlign w:val="bottom"/>
          </w:tcPr>
          <w:p w:rsidR="00645A76" w:rsidRPr="00523760" w:rsidRDefault="00645A76" w:rsidP="00896462">
            <w:pPr>
              <w:rPr>
                <w:rFonts w:ascii="Arial" w:hAnsi="Arial" w:cs="Arial"/>
              </w:rPr>
            </w:pP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single" w:sz="8" w:space="0" w:color="auto"/>
              <w:left w:val="single" w:sz="8" w:space="0" w:color="auto"/>
              <w:bottom w:val="single" w:sz="4" w:space="0" w:color="auto"/>
              <w:right w:val="single" w:sz="4" w:space="0" w:color="auto"/>
            </w:tcBorders>
            <w:noWrap/>
            <w:vAlign w:val="bottom"/>
          </w:tcPr>
          <w:p w:rsidR="00645A76" w:rsidRDefault="00645A76" w:rsidP="00896462">
            <w:pPr>
              <w:rPr>
                <w:rFonts w:ascii="Arial" w:hAnsi="Arial" w:cs="Arial"/>
                <w:b/>
                <w:bCs/>
              </w:rPr>
            </w:pPr>
            <w:r w:rsidRPr="00523760">
              <w:rPr>
                <w:rFonts w:ascii="Arial" w:hAnsi="Arial" w:cs="Arial"/>
                <w:b/>
                <w:bCs/>
              </w:rPr>
              <w:t>Changes to Organisational Domain</w:t>
            </w:r>
          </w:p>
          <w:p w:rsidR="00645A76" w:rsidRPr="00523760" w:rsidRDefault="00645A76" w:rsidP="00896462">
            <w:pPr>
              <w:rPr>
                <w:rFonts w:ascii="Arial" w:hAnsi="Arial" w:cs="Arial"/>
                <w:b/>
                <w:bCs/>
              </w:rPr>
            </w:pPr>
          </w:p>
        </w:tc>
        <w:tc>
          <w:tcPr>
            <w:tcW w:w="1163" w:type="dxa"/>
            <w:tcBorders>
              <w:top w:val="single" w:sz="8" w:space="0" w:color="auto"/>
              <w:left w:val="nil"/>
              <w:bottom w:val="single" w:sz="4" w:space="0" w:color="auto"/>
              <w:right w:val="single" w:sz="4" w:space="0" w:color="auto"/>
            </w:tcBorders>
            <w:noWrap/>
            <w:vAlign w:val="bottom"/>
          </w:tcPr>
          <w:p w:rsidR="00645A76" w:rsidRPr="00523760" w:rsidRDefault="00645A76" w:rsidP="00896462">
            <w:pPr>
              <w:rPr>
                <w:rFonts w:ascii="Arial" w:hAnsi="Arial" w:cs="Arial"/>
                <w:b/>
                <w:bCs/>
              </w:rPr>
            </w:pPr>
            <w:r w:rsidRPr="00523760">
              <w:rPr>
                <w:rFonts w:ascii="Arial" w:hAnsi="Arial" w:cs="Arial"/>
                <w:b/>
                <w:bCs/>
              </w:rPr>
              <w:t>Points</w:t>
            </w:r>
          </w:p>
        </w:tc>
        <w:tc>
          <w:tcPr>
            <w:tcW w:w="850" w:type="dxa"/>
            <w:tcBorders>
              <w:top w:val="single" w:sz="8" w:space="0" w:color="auto"/>
              <w:left w:val="nil"/>
              <w:bottom w:val="single" w:sz="4" w:space="0" w:color="auto"/>
              <w:right w:val="single" w:sz="8" w:space="0" w:color="auto"/>
            </w:tcBorders>
            <w:noWrap/>
            <w:vAlign w:val="bottom"/>
          </w:tcPr>
          <w:p w:rsidR="00645A76" w:rsidRPr="00523760" w:rsidRDefault="00645A76" w:rsidP="00896462">
            <w:pPr>
              <w:rPr>
                <w:rFonts w:ascii="Arial" w:hAnsi="Arial" w:cs="Arial"/>
                <w:b/>
                <w:bCs/>
              </w:rPr>
            </w:pPr>
            <w:r w:rsidRPr="00523760">
              <w:rPr>
                <w:rFonts w:ascii="Arial" w:hAnsi="Arial" w:cs="Arial"/>
                <w:b/>
                <w:bCs/>
              </w:rPr>
              <w:t>£m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b/>
                <w:bCs/>
              </w:rPr>
            </w:pPr>
            <w:r w:rsidRPr="00523760">
              <w:rPr>
                <w:rFonts w:ascii="Arial" w:hAnsi="Arial" w:cs="Arial"/>
                <w:b/>
                <w:bCs/>
              </w:rPr>
              <w:t xml:space="preserve">Total points available </w:t>
            </w:r>
          </w:p>
          <w:p w:rsidR="00645A76" w:rsidRPr="00523760" w:rsidRDefault="00645A76" w:rsidP="00896462">
            <w:pPr>
              <w:rPr>
                <w:rFonts w:ascii="Arial" w:hAnsi="Arial" w:cs="Arial"/>
                <w:b/>
                <w:bCs/>
              </w:rPr>
            </w:pPr>
          </w:p>
        </w:tc>
        <w:tc>
          <w:tcPr>
            <w:tcW w:w="1163" w:type="dxa"/>
            <w:tcBorders>
              <w:top w:val="nil"/>
              <w:left w:val="nil"/>
              <w:bottom w:val="single" w:sz="4" w:space="0" w:color="auto"/>
              <w:right w:val="single" w:sz="4" w:space="0" w:color="auto"/>
            </w:tcBorders>
            <w:noWrap/>
            <w:vAlign w:val="bottom"/>
          </w:tcPr>
          <w:p w:rsidR="00645A76" w:rsidRPr="00523760" w:rsidRDefault="00645A76" w:rsidP="00896462">
            <w:pPr>
              <w:jc w:val="right"/>
              <w:rPr>
                <w:rFonts w:ascii="Arial" w:hAnsi="Arial" w:cs="Arial"/>
                <w:b/>
                <w:bCs/>
              </w:rPr>
            </w:pPr>
            <w:r w:rsidRPr="00523760">
              <w:rPr>
                <w:rFonts w:ascii="Arial" w:hAnsi="Arial" w:cs="Arial"/>
                <w:b/>
                <w:bCs/>
              </w:rPr>
              <w:t>254</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11.6m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Points continuing in existing QP scheme</w:t>
            </w:r>
          </w:p>
          <w:p w:rsidR="00645A76" w:rsidRPr="00523760" w:rsidRDefault="00645A76" w:rsidP="00896462">
            <w:pPr>
              <w:rPr>
                <w:rFonts w:ascii="Arial" w:hAnsi="Arial" w:cs="Arial"/>
              </w:rPr>
            </w:pPr>
          </w:p>
        </w:tc>
        <w:tc>
          <w:tcPr>
            <w:tcW w:w="1163" w:type="dxa"/>
            <w:tcBorders>
              <w:top w:val="nil"/>
              <w:left w:val="nil"/>
              <w:bottom w:val="single" w:sz="4" w:space="0" w:color="auto"/>
              <w:right w:val="single" w:sz="4" w:space="0" w:color="auto"/>
            </w:tcBorders>
            <w:noWrap/>
            <w:vAlign w:val="bottom"/>
          </w:tcPr>
          <w:p w:rsidR="00645A76" w:rsidRPr="00523760" w:rsidRDefault="00645A76" w:rsidP="00896462">
            <w:pPr>
              <w:jc w:val="right"/>
              <w:rPr>
                <w:rFonts w:ascii="Arial" w:hAnsi="Arial" w:cs="Arial"/>
              </w:rPr>
            </w:pPr>
            <w:r w:rsidRPr="00523760">
              <w:rPr>
                <w:rFonts w:ascii="Arial" w:hAnsi="Arial" w:cs="Arial"/>
              </w:rPr>
              <w:t>100</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4.5m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Points to be moved to Public Health Domain</w:t>
            </w:r>
          </w:p>
          <w:p w:rsidR="00645A76" w:rsidRPr="00523760" w:rsidRDefault="00645A76" w:rsidP="00896462">
            <w:pPr>
              <w:rPr>
                <w:rFonts w:ascii="Arial" w:hAnsi="Arial" w:cs="Arial"/>
              </w:rPr>
            </w:pPr>
          </w:p>
        </w:tc>
        <w:tc>
          <w:tcPr>
            <w:tcW w:w="1163" w:type="dxa"/>
            <w:tcBorders>
              <w:top w:val="nil"/>
              <w:left w:val="nil"/>
              <w:bottom w:val="single" w:sz="4" w:space="0" w:color="auto"/>
              <w:right w:val="single" w:sz="4" w:space="0" w:color="auto"/>
            </w:tcBorders>
            <w:noWrap/>
            <w:vAlign w:val="bottom"/>
          </w:tcPr>
          <w:p w:rsidR="00645A76" w:rsidRPr="00523760" w:rsidRDefault="00645A76" w:rsidP="00896462">
            <w:pPr>
              <w:jc w:val="right"/>
              <w:rPr>
                <w:rFonts w:ascii="Arial" w:hAnsi="Arial" w:cs="Arial"/>
              </w:rPr>
            </w:pPr>
            <w:r w:rsidRPr="00523760">
              <w:rPr>
                <w:rFonts w:ascii="Arial" w:hAnsi="Arial" w:cs="Arial"/>
              </w:rPr>
              <w:t>17</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0.8m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Points required for NICE indicators</w:t>
            </w:r>
          </w:p>
          <w:p w:rsidR="00645A76" w:rsidRPr="00523760" w:rsidRDefault="00645A76" w:rsidP="00896462">
            <w:pPr>
              <w:rPr>
                <w:rFonts w:ascii="Arial" w:hAnsi="Arial" w:cs="Arial"/>
              </w:rPr>
            </w:pPr>
          </w:p>
        </w:tc>
        <w:tc>
          <w:tcPr>
            <w:tcW w:w="1163" w:type="dxa"/>
            <w:tcBorders>
              <w:top w:val="nil"/>
              <w:left w:val="nil"/>
              <w:bottom w:val="single" w:sz="4" w:space="0" w:color="auto"/>
              <w:right w:val="single" w:sz="4" w:space="0" w:color="auto"/>
            </w:tcBorders>
            <w:noWrap/>
            <w:vAlign w:val="bottom"/>
          </w:tcPr>
          <w:p w:rsidR="00645A76" w:rsidRPr="00523760" w:rsidRDefault="00645A76" w:rsidP="00896462">
            <w:pPr>
              <w:jc w:val="right"/>
              <w:rPr>
                <w:rFonts w:ascii="Arial" w:hAnsi="Arial" w:cs="Arial"/>
              </w:rPr>
            </w:pPr>
            <w:r>
              <w:rPr>
                <w:rFonts w:ascii="Arial" w:hAnsi="Arial" w:cs="Arial"/>
              </w:rPr>
              <w:t>26</w:t>
            </w:r>
          </w:p>
        </w:tc>
        <w:tc>
          <w:tcPr>
            <w:tcW w:w="850" w:type="dxa"/>
            <w:tcBorders>
              <w:top w:val="nil"/>
              <w:left w:val="nil"/>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1.2m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55"/>
        </w:trPr>
        <w:tc>
          <w:tcPr>
            <w:tcW w:w="7074" w:type="dxa"/>
            <w:tcBorders>
              <w:top w:val="nil"/>
              <w:left w:val="single" w:sz="8" w:space="0" w:color="auto"/>
              <w:bottom w:val="nil"/>
              <w:right w:val="single" w:sz="4" w:space="0" w:color="auto"/>
            </w:tcBorders>
            <w:noWrap/>
            <w:vAlign w:val="bottom"/>
          </w:tcPr>
          <w:p w:rsidR="00645A76" w:rsidRDefault="00645A76" w:rsidP="00896462">
            <w:pPr>
              <w:rPr>
                <w:rFonts w:ascii="Arial" w:hAnsi="Arial" w:cs="Arial"/>
                <w:b/>
                <w:bCs/>
              </w:rPr>
            </w:pPr>
            <w:r w:rsidRPr="00523760">
              <w:rPr>
                <w:rFonts w:ascii="Arial" w:hAnsi="Arial" w:cs="Arial"/>
                <w:b/>
                <w:bCs/>
              </w:rPr>
              <w:t>Total points re-used</w:t>
            </w:r>
          </w:p>
          <w:p w:rsidR="00645A76" w:rsidRPr="00523760" w:rsidRDefault="00645A76" w:rsidP="00896462">
            <w:pPr>
              <w:rPr>
                <w:rFonts w:ascii="Arial" w:hAnsi="Arial" w:cs="Arial"/>
                <w:b/>
                <w:bCs/>
              </w:rPr>
            </w:pPr>
          </w:p>
        </w:tc>
        <w:tc>
          <w:tcPr>
            <w:tcW w:w="1163" w:type="dxa"/>
            <w:tcBorders>
              <w:top w:val="nil"/>
              <w:left w:val="nil"/>
              <w:bottom w:val="nil"/>
              <w:right w:val="single" w:sz="4"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143</w:t>
            </w:r>
          </w:p>
        </w:tc>
        <w:tc>
          <w:tcPr>
            <w:tcW w:w="850" w:type="dxa"/>
            <w:tcBorders>
              <w:top w:val="nil"/>
              <w:left w:val="nil"/>
              <w:bottom w:val="nil"/>
              <w:right w:val="single" w:sz="8"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6.5m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70"/>
        </w:trPr>
        <w:tc>
          <w:tcPr>
            <w:tcW w:w="7074" w:type="dxa"/>
            <w:tcBorders>
              <w:top w:val="single" w:sz="4" w:space="0" w:color="auto"/>
              <w:left w:val="single" w:sz="8" w:space="0" w:color="auto"/>
              <w:bottom w:val="single" w:sz="8" w:space="0" w:color="auto"/>
              <w:right w:val="single" w:sz="4" w:space="0" w:color="auto"/>
            </w:tcBorders>
            <w:noWrap/>
            <w:vAlign w:val="bottom"/>
          </w:tcPr>
          <w:p w:rsidR="00645A76" w:rsidRDefault="00645A76" w:rsidP="00896462">
            <w:pPr>
              <w:rPr>
                <w:rFonts w:ascii="Arial" w:hAnsi="Arial" w:cs="Arial"/>
                <w:b/>
                <w:bCs/>
              </w:rPr>
            </w:pPr>
            <w:r>
              <w:rPr>
                <w:rFonts w:ascii="Arial" w:hAnsi="Arial" w:cs="Arial"/>
                <w:b/>
                <w:bCs/>
              </w:rPr>
              <w:t>Points Retained – Medicines Management</w:t>
            </w:r>
          </w:p>
          <w:p w:rsidR="00645A76" w:rsidRPr="00523760" w:rsidRDefault="00645A76" w:rsidP="00896462">
            <w:pPr>
              <w:rPr>
                <w:rFonts w:ascii="Arial" w:hAnsi="Arial" w:cs="Arial"/>
                <w:b/>
                <w:bCs/>
              </w:rPr>
            </w:pPr>
          </w:p>
        </w:tc>
        <w:tc>
          <w:tcPr>
            <w:tcW w:w="1163" w:type="dxa"/>
            <w:tcBorders>
              <w:top w:val="single" w:sz="4" w:space="0" w:color="auto"/>
              <w:left w:val="nil"/>
              <w:bottom w:val="single" w:sz="8" w:space="0" w:color="auto"/>
              <w:right w:val="single" w:sz="4"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23</w:t>
            </w:r>
          </w:p>
        </w:tc>
        <w:tc>
          <w:tcPr>
            <w:tcW w:w="850" w:type="dxa"/>
            <w:tcBorders>
              <w:top w:val="single" w:sz="4" w:space="0" w:color="auto"/>
              <w:left w:val="nil"/>
              <w:bottom w:val="single" w:sz="8" w:space="0" w:color="auto"/>
              <w:right w:val="single" w:sz="8"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1.0m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70"/>
        </w:trPr>
        <w:tc>
          <w:tcPr>
            <w:tcW w:w="7074" w:type="dxa"/>
            <w:tcBorders>
              <w:top w:val="single" w:sz="4" w:space="0" w:color="auto"/>
              <w:left w:val="single" w:sz="8" w:space="0" w:color="auto"/>
              <w:bottom w:val="single" w:sz="8" w:space="0" w:color="auto"/>
              <w:right w:val="single" w:sz="4" w:space="0" w:color="auto"/>
            </w:tcBorders>
            <w:noWrap/>
            <w:vAlign w:val="bottom"/>
          </w:tcPr>
          <w:p w:rsidR="00645A76" w:rsidRDefault="00645A76" w:rsidP="00896462">
            <w:pPr>
              <w:rPr>
                <w:rFonts w:ascii="Arial" w:hAnsi="Arial" w:cs="Arial"/>
                <w:b/>
                <w:bCs/>
              </w:rPr>
            </w:pPr>
            <w:r w:rsidRPr="00523760">
              <w:rPr>
                <w:rFonts w:ascii="Arial" w:hAnsi="Arial" w:cs="Arial"/>
                <w:b/>
                <w:bCs/>
              </w:rPr>
              <w:t xml:space="preserve">Points available for transfer into </w:t>
            </w:r>
            <w:r>
              <w:rPr>
                <w:rFonts w:ascii="Arial" w:hAnsi="Arial" w:cs="Arial"/>
                <w:b/>
                <w:bCs/>
              </w:rPr>
              <w:t>core Contract</w:t>
            </w:r>
          </w:p>
          <w:p w:rsidR="00645A76" w:rsidRPr="00523760" w:rsidRDefault="00645A76" w:rsidP="00896462">
            <w:pPr>
              <w:rPr>
                <w:rFonts w:ascii="Arial" w:hAnsi="Arial" w:cs="Arial"/>
                <w:b/>
                <w:bCs/>
              </w:rPr>
            </w:pPr>
          </w:p>
        </w:tc>
        <w:tc>
          <w:tcPr>
            <w:tcW w:w="1163" w:type="dxa"/>
            <w:tcBorders>
              <w:top w:val="single" w:sz="4" w:space="0" w:color="auto"/>
              <w:left w:val="nil"/>
              <w:bottom w:val="single" w:sz="8" w:space="0" w:color="auto"/>
              <w:right w:val="single" w:sz="4"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88</w:t>
            </w:r>
          </w:p>
        </w:tc>
        <w:tc>
          <w:tcPr>
            <w:tcW w:w="850" w:type="dxa"/>
            <w:tcBorders>
              <w:top w:val="single" w:sz="4" w:space="0" w:color="auto"/>
              <w:left w:val="nil"/>
              <w:bottom w:val="single" w:sz="8" w:space="0" w:color="auto"/>
              <w:right w:val="single" w:sz="8" w:space="0" w:color="auto"/>
            </w:tcBorders>
            <w:noWrap/>
            <w:vAlign w:val="bottom"/>
          </w:tcPr>
          <w:p w:rsidR="00645A76" w:rsidRPr="00523760" w:rsidRDefault="00645A76" w:rsidP="00896462">
            <w:pPr>
              <w:jc w:val="right"/>
              <w:rPr>
                <w:rFonts w:ascii="Arial" w:hAnsi="Arial" w:cs="Arial"/>
                <w:b/>
                <w:bCs/>
              </w:rPr>
            </w:pPr>
            <w:r>
              <w:rPr>
                <w:rFonts w:ascii="Arial" w:hAnsi="Arial" w:cs="Arial"/>
                <w:b/>
                <w:bCs/>
              </w:rPr>
              <w:t>4.0m</w:t>
            </w:r>
          </w:p>
        </w:tc>
        <w:tc>
          <w:tcPr>
            <w:tcW w:w="851" w:type="dxa"/>
            <w:tcBorders>
              <w:top w:val="nil"/>
              <w:left w:val="nil"/>
              <w:bottom w:val="nil"/>
              <w:right w:val="nil"/>
            </w:tcBorders>
            <w:noWrap/>
            <w:vAlign w:val="bottom"/>
          </w:tcPr>
          <w:p w:rsidR="00645A76" w:rsidRPr="00523760" w:rsidRDefault="00645A76" w:rsidP="00896462">
            <w:pPr>
              <w:rPr>
                <w:rFonts w:ascii="Arial" w:hAnsi="Arial" w:cs="Arial"/>
              </w:rPr>
            </w:pPr>
          </w:p>
        </w:tc>
      </w:tr>
      <w:tr w:rsidR="00645A76" w:rsidTr="00896462">
        <w:trPr>
          <w:trHeight w:val="297"/>
        </w:trPr>
        <w:tc>
          <w:tcPr>
            <w:tcW w:w="7074" w:type="dxa"/>
            <w:tcBorders>
              <w:top w:val="single" w:sz="8" w:space="0" w:color="auto"/>
              <w:left w:val="single" w:sz="8" w:space="0" w:color="auto"/>
              <w:bottom w:val="single" w:sz="4" w:space="0" w:color="auto"/>
              <w:right w:val="single" w:sz="4" w:space="0" w:color="auto"/>
            </w:tcBorders>
            <w:noWrap/>
            <w:vAlign w:val="bottom"/>
          </w:tcPr>
          <w:p w:rsidR="00645A76" w:rsidRDefault="00645A76" w:rsidP="00896462">
            <w:pPr>
              <w:rPr>
                <w:rFonts w:ascii="Arial" w:hAnsi="Arial" w:cs="Arial"/>
                <w:b/>
                <w:bCs/>
              </w:rPr>
            </w:pPr>
            <w:r w:rsidRPr="00523760">
              <w:rPr>
                <w:rFonts w:ascii="Arial" w:hAnsi="Arial" w:cs="Arial"/>
                <w:b/>
                <w:bCs/>
              </w:rPr>
              <w:t>New QOF points breakdown</w:t>
            </w:r>
          </w:p>
          <w:p w:rsidR="00645A76" w:rsidRPr="00523760" w:rsidRDefault="00645A76" w:rsidP="00896462">
            <w:pPr>
              <w:rPr>
                <w:rFonts w:ascii="Arial" w:hAnsi="Arial" w:cs="Arial"/>
                <w:b/>
                <w:bCs/>
              </w:rPr>
            </w:pPr>
          </w:p>
        </w:tc>
        <w:tc>
          <w:tcPr>
            <w:tcW w:w="1163" w:type="dxa"/>
            <w:tcBorders>
              <w:top w:val="single" w:sz="8" w:space="0" w:color="auto"/>
              <w:left w:val="nil"/>
              <w:bottom w:val="single" w:sz="4" w:space="0" w:color="auto"/>
              <w:right w:val="nil"/>
            </w:tcBorders>
            <w:noWrap/>
            <w:vAlign w:val="bottom"/>
          </w:tcPr>
          <w:p w:rsidR="00645A76" w:rsidRPr="00523760" w:rsidRDefault="00645A76" w:rsidP="00896462">
            <w:pPr>
              <w:rPr>
                <w:rFonts w:ascii="Arial" w:hAnsi="Arial" w:cs="Arial"/>
                <w:b/>
                <w:bCs/>
              </w:rPr>
            </w:pPr>
            <w:r w:rsidRPr="00523760">
              <w:rPr>
                <w:rFonts w:ascii="Arial" w:hAnsi="Arial" w:cs="Arial"/>
                <w:b/>
                <w:bCs/>
              </w:rPr>
              <w:t>Points</w:t>
            </w:r>
          </w:p>
        </w:tc>
        <w:tc>
          <w:tcPr>
            <w:tcW w:w="850" w:type="dxa"/>
            <w:tcBorders>
              <w:top w:val="single" w:sz="8" w:space="0" w:color="auto"/>
              <w:left w:val="single" w:sz="4" w:space="0" w:color="auto"/>
              <w:bottom w:val="single" w:sz="4" w:space="0" w:color="auto"/>
              <w:right w:val="nil"/>
            </w:tcBorders>
            <w:noWrap/>
            <w:vAlign w:val="bottom"/>
          </w:tcPr>
          <w:p w:rsidR="00645A76" w:rsidRPr="00523760" w:rsidRDefault="00645A76" w:rsidP="00896462">
            <w:pPr>
              <w:rPr>
                <w:rFonts w:ascii="Arial" w:hAnsi="Arial" w:cs="Arial"/>
                <w:b/>
                <w:bCs/>
              </w:rPr>
            </w:pPr>
            <w:r w:rsidRPr="00523760">
              <w:rPr>
                <w:rFonts w:ascii="Arial" w:hAnsi="Arial" w:cs="Arial"/>
                <w:b/>
                <w:bCs/>
              </w:rPr>
              <w:t>£m</w:t>
            </w:r>
          </w:p>
        </w:tc>
        <w:tc>
          <w:tcPr>
            <w:tcW w:w="851" w:type="dxa"/>
            <w:tcBorders>
              <w:top w:val="single" w:sz="8" w:space="0" w:color="auto"/>
              <w:left w:val="single" w:sz="4" w:space="0" w:color="auto"/>
              <w:bottom w:val="single" w:sz="4" w:space="0" w:color="auto"/>
              <w:right w:val="single" w:sz="8" w:space="0" w:color="auto"/>
            </w:tcBorders>
            <w:noWrap/>
            <w:vAlign w:val="bottom"/>
          </w:tcPr>
          <w:p w:rsidR="00645A76" w:rsidRPr="00523760" w:rsidRDefault="00645A76" w:rsidP="00896462">
            <w:pPr>
              <w:rPr>
                <w:rFonts w:ascii="Arial" w:hAnsi="Arial" w:cs="Arial"/>
                <w:b/>
                <w:bCs/>
              </w:rPr>
            </w:pPr>
            <w:r w:rsidRPr="00523760">
              <w:rPr>
                <w:rFonts w:ascii="Arial" w:hAnsi="Arial" w:cs="Arial"/>
                <w:b/>
                <w:bCs/>
              </w:rPr>
              <w:t xml:space="preserve">% </w:t>
            </w: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Clinical</w:t>
            </w:r>
          </w:p>
          <w:p w:rsidR="00645A76" w:rsidRPr="00523760" w:rsidRDefault="00645A76" w:rsidP="00896462">
            <w:pPr>
              <w:rPr>
                <w:rFonts w:ascii="Arial" w:hAnsi="Arial" w:cs="Arial"/>
              </w:rPr>
            </w:pPr>
          </w:p>
        </w:tc>
        <w:tc>
          <w:tcPr>
            <w:tcW w:w="1163" w:type="dxa"/>
            <w:tcBorders>
              <w:top w:val="nil"/>
              <w:left w:val="nil"/>
              <w:bottom w:val="single" w:sz="4" w:space="0" w:color="auto"/>
              <w:right w:val="nil"/>
            </w:tcBorders>
            <w:noWrap/>
            <w:vAlign w:val="bottom"/>
          </w:tcPr>
          <w:p w:rsidR="00645A76" w:rsidRPr="00523760" w:rsidRDefault="00645A76" w:rsidP="00896462">
            <w:pPr>
              <w:jc w:val="right"/>
              <w:rPr>
                <w:rFonts w:ascii="Arial" w:hAnsi="Arial" w:cs="Arial"/>
              </w:rPr>
            </w:pPr>
            <w:r>
              <w:rPr>
                <w:rFonts w:ascii="Arial" w:hAnsi="Arial" w:cs="Arial"/>
              </w:rPr>
              <w:t>604</w:t>
            </w:r>
          </w:p>
        </w:tc>
        <w:tc>
          <w:tcPr>
            <w:tcW w:w="850" w:type="dxa"/>
            <w:tcBorders>
              <w:top w:val="nil"/>
              <w:left w:val="single" w:sz="4" w:space="0" w:color="auto"/>
              <w:bottom w:val="single" w:sz="4" w:space="0" w:color="auto"/>
              <w:right w:val="nil"/>
            </w:tcBorders>
            <w:noWrap/>
            <w:vAlign w:val="bottom"/>
          </w:tcPr>
          <w:p w:rsidR="00645A76" w:rsidRPr="00523760" w:rsidRDefault="00645A76" w:rsidP="00896462">
            <w:pPr>
              <w:jc w:val="right"/>
              <w:rPr>
                <w:rFonts w:ascii="Arial" w:hAnsi="Arial" w:cs="Arial"/>
              </w:rPr>
            </w:pPr>
            <w:r>
              <w:rPr>
                <w:rFonts w:ascii="Arial" w:hAnsi="Arial" w:cs="Arial"/>
              </w:rPr>
              <w:t>27.5m</w:t>
            </w:r>
          </w:p>
        </w:tc>
        <w:tc>
          <w:tcPr>
            <w:tcW w:w="851" w:type="dxa"/>
            <w:tcBorders>
              <w:top w:val="nil"/>
              <w:left w:val="single" w:sz="4" w:space="0" w:color="auto"/>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66</w:t>
            </w:r>
            <w:r w:rsidRPr="00523760">
              <w:rPr>
                <w:rFonts w:ascii="Arial" w:hAnsi="Arial" w:cs="Arial"/>
              </w:rPr>
              <w:t>%</w:t>
            </w: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Public health (includes Additional Services)</w:t>
            </w:r>
          </w:p>
          <w:p w:rsidR="00645A76" w:rsidRPr="00523760" w:rsidRDefault="00645A76" w:rsidP="00896462">
            <w:pPr>
              <w:rPr>
                <w:rFonts w:ascii="Arial" w:hAnsi="Arial" w:cs="Arial"/>
              </w:rPr>
            </w:pPr>
          </w:p>
        </w:tc>
        <w:tc>
          <w:tcPr>
            <w:tcW w:w="1163" w:type="dxa"/>
            <w:tcBorders>
              <w:top w:val="nil"/>
              <w:left w:val="nil"/>
              <w:bottom w:val="single" w:sz="4" w:space="0" w:color="auto"/>
              <w:right w:val="nil"/>
            </w:tcBorders>
            <w:noWrap/>
            <w:vAlign w:val="bottom"/>
          </w:tcPr>
          <w:p w:rsidR="00645A76" w:rsidRPr="00523760" w:rsidRDefault="00645A76" w:rsidP="00896462">
            <w:pPr>
              <w:jc w:val="right"/>
              <w:rPr>
                <w:rFonts w:ascii="Arial" w:hAnsi="Arial" w:cs="Arial"/>
              </w:rPr>
            </w:pPr>
            <w:r w:rsidRPr="00523760">
              <w:rPr>
                <w:rFonts w:ascii="Arial" w:hAnsi="Arial" w:cs="Arial"/>
              </w:rPr>
              <w:t>157</w:t>
            </w:r>
          </w:p>
        </w:tc>
        <w:tc>
          <w:tcPr>
            <w:tcW w:w="850" w:type="dxa"/>
            <w:tcBorders>
              <w:top w:val="nil"/>
              <w:left w:val="single" w:sz="4" w:space="0" w:color="auto"/>
              <w:bottom w:val="single" w:sz="4" w:space="0" w:color="auto"/>
              <w:right w:val="nil"/>
            </w:tcBorders>
            <w:noWrap/>
            <w:vAlign w:val="bottom"/>
          </w:tcPr>
          <w:p w:rsidR="00645A76" w:rsidRPr="00523760" w:rsidRDefault="00645A76" w:rsidP="00896462">
            <w:pPr>
              <w:jc w:val="right"/>
              <w:rPr>
                <w:rFonts w:ascii="Arial" w:hAnsi="Arial" w:cs="Arial"/>
              </w:rPr>
            </w:pPr>
            <w:r>
              <w:rPr>
                <w:rFonts w:ascii="Arial" w:hAnsi="Arial" w:cs="Arial"/>
              </w:rPr>
              <w:t>7.1m</w:t>
            </w:r>
          </w:p>
        </w:tc>
        <w:tc>
          <w:tcPr>
            <w:tcW w:w="851" w:type="dxa"/>
            <w:tcBorders>
              <w:top w:val="nil"/>
              <w:left w:val="single" w:sz="4" w:space="0" w:color="auto"/>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sidRPr="00523760">
              <w:rPr>
                <w:rFonts w:ascii="Arial" w:hAnsi="Arial" w:cs="Arial"/>
              </w:rPr>
              <w:t>17%</w:t>
            </w: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Quality and productivity</w:t>
            </w:r>
          </w:p>
          <w:p w:rsidR="00645A76" w:rsidRPr="00523760" w:rsidRDefault="00645A76" w:rsidP="00896462">
            <w:pPr>
              <w:rPr>
                <w:rFonts w:ascii="Arial" w:hAnsi="Arial" w:cs="Arial"/>
              </w:rPr>
            </w:pPr>
          </w:p>
        </w:tc>
        <w:tc>
          <w:tcPr>
            <w:tcW w:w="1163" w:type="dxa"/>
            <w:tcBorders>
              <w:top w:val="nil"/>
              <w:left w:val="nil"/>
              <w:bottom w:val="single" w:sz="4" w:space="0" w:color="auto"/>
              <w:right w:val="nil"/>
            </w:tcBorders>
            <w:noWrap/>
            <w:vAlign w:val="bottom"/>
          </w:tcPr>
          <w:p w:rsidR="00645A76" w:rsidRPr="00523760" w:rsidRDefault="00645A76" w:rsidP="00896462">
            <w:pPr>
              <w:jc w:val="right"/>
              <w:rPr>
                <w:rFonts w:ascii="Arial" w:hAnsi="Arial" w:cs="Arial"/>
              </w:rPr>
            </w:pPr>
            <w:r w:rsidRPr="00523760">
              <w:rPr>
                <w:rFonts w:ascii="Arial" w:hAnsi="Arial" w:cs="Arial"/>
              </w:rPr>
              <w:t>100</w:t>
            </w:r>
          </w:p>
        </w:tc>
        <w:tc>
          <w:tcPr>
            <w:tcW w:w="850" w:type="dxa"/>
            <w:tcBorders>
              <w:top w:val="nil"/>
              <w:left w:val="single" w:sz="4" w:space="0" w:color="auto"/>
              <w:bottom w:val="single" w:sz="4" w:space="0" w:color="auto"/>
              <w:right w:val="nil"/>
            </w:tcBorders>
            <w:noWrap/>
            <w:vAlign w:val="bottom"/>
          </w:tcPr>
          <w:p w:rsidR="00645A76" w:rsidRPr="00523760" w:rsidRDefault="00645A76" w:rsidP="00896462">
            <w:pPr>
              <w:jc w:val="right"/>
              <w:rPr>
                <w:rFonts w:ascii="Arial" w:hAnsi="Arial" w:cs="Arial"/>
              </w:rPr>
            </w:pPr>
            <w:r>
              <w:rPr>
                <w:rFonts w:ascii="Arial" w:hAnsi="Arial" w:cs="Arial"/>
              </w:rPr>
              <w:t>4.5m</w:t>
            </w:r>
          </w:p>
        </w:tc>
        <w:tc>
          <w:tcPr>
            <w:tcW w:w="851" w:type="dxa"/>
            <w:tcBorders>
              <w:top w:val="nil"/>
              <w:left w:val="single" w:sz="4" w:space="0" w:color="auto"/>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sidRPr="00523760">
              <w:rPr>
                <w:rFonts w:ascii="Arial" w:hAnsi="Arial" w:cs="Arial"/>
              </w:rPr>
              <w:t>11%</w:t>
            </w: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Pr>
                <w:rFonts w:ascii="Arial" w:hAnsi="Arial" w:cs="Arial"/>
              </w:rPr>
              <w:t>Organisational Domain</w:t>
            </w:r>
          </w:p>
          <w:p w:rsidR="00645A76" w:rsidRPr="00523760" w:rsidRDefault="00645A76" w:rsidP="00896462">
            <w:pPr>
              <w:rPr>
                <w:rFonts w:ascii="Arial" w:hAnsi="Arial" w:cs="Arial"/>
              </w:rPr>
            </w:pPr>
          </w:p>
        </w:tc>
        <w:tc>
          <w:tcPr>
            <w:tcW w:w="1163" w:type="dxa"/>
            <w:tcBorders>
              <w:top w:val="nil"/>
              <w:left w:val="nil"/>
              <w:bottom w:val="single" w:sz="4" w:space="0" w:color="auto"/>
              <w:right w:val="nil"/>
            </w:tcBorders>
            <w:noWrap/>
            <w:vAlign w:val="bottom"/>
          </w:tcPr>
          <w:p w:rsidR="00645A76" w:rsidRPr="00523760" w:rsidRDefault="00645A76" w:rsidP="00896462">
            <w:pPr>
              <w:jc w:val="right"/>
              <w:rPr>
                <w:rFonts w:ascii="Arial" w:hAnsi="Arial" w:cs="Arial"/>
              </w:rPr>
            </w:pPr>
            <w:r>
              <w:rPr>
                <w:rFonts w:ascii="Arial" w:hAnsi="Arial" w:cs="Arial"/>
              </w:rPr>
              <w:t>23</w:t>
            </w:r>
          </w:p>
        </w:tc>
        <w:tc>
          <w:tcPr>
            <w:tcW w:w="850" w:type="dxa"/>
            <w:tcBorders>
              <w:top w:val="nil"/>
              <w:left w:val="single" w:sz="4" w:space="0" w:color="auto"/>
              <w:bottom w:val="single" w:sz="4" w:space="0" w:color="auto"/>
              <w:right w:val="nil"/>
            </w:tcBorders>
            <w:noWrap/>
            <w:vAlign w:val="bottom"/>
          </w:tcPr>
          <w:p w:rsidR="00645A76" w:rsidRPr="00523760" w:rsidRDefault="00645A76" w:rsidP="00896462">
            <w:pPr>
              <w:jc w:val="right"/>
              <w:rPr>
                <w:rFonts w:ascii="Arial" w:hAnsi="Arial" w:cs="Arial"/>
              </w:rPr>
            </w:pPr>
            <w:r>
              <w:rPr>
                <w:rFonts w:ascii="Arial" w:hAnsi="Arial" w:cs="Arial"/>
              </w:rPr>
              <w:t>1.0m</w:t>
            </w:r>
          </w:p>
        </w:tc>
        <w:tc>
          <w:tcPr>
            <w:tcW w:w="851" w:type="dxa"/>
            <w:tcBorders>
              <w:top w:val="nil"/>
              <w:left w:val="single" w:sz="4" w:space="0" w:color="auto"/>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Pr>
                <w:rFonts w:ascii="Arial" w:hAnsi="Arial" w:cs="Arial"/>
              </w:rPr>
              <w:t>2%</w:t>
            </w:r>
          </w:p>
        </w:tc>
      </w:tr>
      <w:tr w:rsidR="00645A76" w:rsidTr="00896462">
        <w:trPr>
          <w:trHeight w:val="255"/>
        </w:trPr>
        <w:tc>
          <w:tcPr>
            <w:tcW w:w="7074" w:type="dxa"/>
            <w:tcBorders>
              <w:top w:val="nil"/>
              <w:left w:val="single" w:sz="8" w:space="0" w:color="auto"/>
              <w:bottom w:val="single" w:sz="4" w:space="0" w:color="auto"/>
              <w:right w:val="single" w:sz="4" w:space="0" w:color="auto"/>
            </w:tcBorders>
            <w:noWrap/>
            <w:vAlign w:val="bottom"/>
          </w:tcPr>
          <w:p w:rsidR="00645A76" w:rsidRDefault="00645A76" w:rsidP="00896462">
            <w:pPr>
              <w:rPr>
                <w:rFonts w:ascii="Arial" w:hAnsi="Arial" w:cs="Arial"/>
              </w:rPr>
            </w:pPr>
            <w:r w:rsidRPr="00523760">
              <w:rPr>
                <w:rFonts w:ascii="Arial" w:hAnsi="Arial" w:cs="Arial"/>
              </w:rPr>
              <w:t>Patient experience</w:t>
            </w:r>
          </w:p>
          <w:p w:rsidR="00645A76" w:rsidRPr="00523760" w:rsidRDefault="00645A76" w:rsidP="00896462">
            <w:pPr>
              <w:rPr>
                <w:rFonts w:ascii="Arial" w:hAnsi="Arial" w:cs="Arial"/>
              </w:rPr>
            </w:pPr>
          </w:p>
        </w:tc>
        <w:tc>
          <w:tcPr>
            <w:tcW w:w="1163" w:type="dxa"/>
            <w:tcBorders>
              <w:top w:val="nil"/>
              <w:left w:val="nil"/>
              <w:bottom w:val="single" w:sz="4" w:space="0" w:color="auto"/>
              <w:right w:val="nil"/>
            </w:tcBorders>
            <w:noWrap/>
            <w:vAlign w:val="bottom"/>
          </w:tcPr>
          <w:p w:rsidR="00645A76" w:rsidRPr="00523760" w:rsidRDefault="00645A76" w:rsidP="00896462">
            <w:pPr>
              <w:jc w:val="right"/>
              <w:rPr>
                <w:rFonts w:ascii="Arial" w:hAnsi="Arial" w:cs="Arial"/>
              </w:rPr>
            </w:pPr>
            <w:r w:rsidRPr="00523760">
              <w:rPr>
                <w:rFonts w:ascii="Arial" w:hAnsi="Arial" w:cs="Arial"/>
              </w:rPr>
              <w:t>33</w:t>
            </w:r>
          </w:p>
        </w:tc>
        <w:tc>
          <w:tcPr>
            <w:tcW w:w="850" w:type="dxa"/>
            <w:tcBorders>
              <w:top w:val="nil"/>
              <w:left w:val="single" w:sz="4" w:space="0" w:color="auto"/>
              <w:bottom w:val="single" w:sz="4" w:space="0" w:color="auto"/>
              <w:right w:val="nil"/>
            </w:tcBorders>
            <w:noWrap/>
            <w:vAlign w:val="bottom"/>
          </w:tcPr>
          <w:p w:rsidR="00645A76" w:rsidRPr="00523760" w:rsidRDefault="00645A76" w:rsidP="00896462">
            <w:pPr>
              <w:jc w:val="right"/>
              <w:rPr>
                <w:rFonts w:ascii="Arial" w:hAnsi="Arial" w:cs="Arial"/>
              </w:rPr>
            </w:pPr>
            <w:r>
              <w:rPr>
                <w:rFonts w:ascii="Arial" w:hAnsi="Arial" w:cs="Arial"/>
              </w:rPr>
              <w:t>1.5m</w:t>
            </w:r>
          </w:p>
        </w:tc>
        <w:tc>
          <w:tcPr>
            <w:tcW w:w="851" w:type="dxa"/>
            <w:tcBorders>
              <w:top w:val="nil"/>
              <w:left w:val="single" w:sz="4" w:space="0" w:color="auto"/>
              <w:bottom w:val="single" w:sz="4" w:space="0" w:color="auto"/>
              <w:right w:val="single" w:sz="8" w:space="0" w:color="auto"/>
            </w:tcBorders>
            <w:noWrap/>
            <w:vAlign w:val="bottom"/>
          </w:tcPr>
          <w:p w:rsidR="00645A76" w:rsidRPr="00523760" w:rsidRDefault="00645A76" w:rsidP="00896462">
            <w:pPr>
              <w:jc w:val="right"/>
              <w:rPr>
                <w:rFonts w:ascii="Arial" w:hAnsi="Arial" w:cs="Arial"/>
              </w:rPr>
            </w:pPr>
            <w:r w:rsidRPr="00523760">
              <w:rPr>
                <w:rFonts w:ascii="Arial" w:hAnsi="Arial" w:cs="Arial"/>
              </w:rPr>
              <w:t>4%</w:t>
            </w:r>
          </w:p>
        </w:tc>
      </w:tr>
      <w:tr w:rsidR="00645A76" w:rsidTr="00896462">
        <w:trPr>
          <w:trHeight w:val="270"/>
        </w:trPr>
        <w:tc>
          <w:tcPr>
            <w:tcW w:w="7074" w:type="dxa"/>
            <w:tcBorders>
              <w:top w:val="nil"/>
              <w:left w:val="single" w:sz="8" w:space="0" w:color="auto"/>
              <w:bottom w:val="single" w:sz="8" w:space="0" w:color="auto"/>
              <w:right w:val="single" w:sz="4" w:space="0" w:color="auto"/>
            </w:tcBorders>
            <w:noWrap/>
            <w:vAlign w:val="bottom"/>
          </w:tcPr>
          <w:p w:rsidR="00645A76" w:rsidRDefault="00645A76" w:rsidP="00896462">
            <w:pPr>
              <w:rPr>
                <w:rFonts w:ascii="Arial" w:hAnsi="Arial" w:cs="Arial"/>
                <w:b/>
                <w:bCs/>
              </w:rPr>
            </w:pPr>
          </w:p>
          <w:p w:rsidR="00645A76" w:rsidRPr="00523760" w:rsidRDefault="00645A76" w:rsidP="00896462">
            <w:pPr>
              <w:rPr>
                <w:rFonts w:ascii="Arial" w:hAnsi="Arial" w:cs="Arial"/>
                <w:b/>
                <w:bCs/>
              </w:rPr>
            </w:pPr>
            <w:r w:rsidRPr="00523760">
              <w:rPr>
                <w:rFonts w:ascii="Arial" w:hAnsi="Arial" w:cs="Arial"/>
                <w:b/>
                <w:bCs/>
              </w:rPr>
              <w:t>Total</w:t>
            </w:r>
          </w:p>
        </w:tc>
        <w:tc>
          <w:tcPr>
            <w:tcW w:w="1163" w:type="dxa"/>
            <w:tcBorders>
              <w:top w:val="nil"/>
              <w:left w:val="nil"/>
              <w:bottom w:val="single" w:sz="8" w:space="0" w:color="auto"/>
              <w:right w:val="nil"/>
            </w:tcBorders>
            <w:noWrap/>
            <w:vAlign w:val="bottom"/>
          </w:tcPr>
          <w:p w:rsidR="00645A76" w:rsidRPr="00523760" w:rsidRDefault="00645A76" w:rsidP="00896462">
            <w:pPr>
              <w:jc w:val="right"/>
              <w:rPr>
                <w:rFonts w:ascii="Arial" w:hAnsi="Arial" w:cs="Arial"/>
                <w:b/>
                <w:bCs/>
              </w:rPr>
            </w:pPr>
            <w:r>
              <w:rPr>
                <w:rFonts w:ascii="Arial" w:hAnsi="Arial" w:cs="Arial"/>
                <w:b/>
                <w:bCs/>
              </w:rPr>
              <w:t>912</w:t>
            </w:r>
          </w:p>
        </w:tc>
        <w:tc>
          <w:tcPr>
            <w:tcW w:w="850" w:type="dxa"/>
            <w:tcBorders>
              <w:top w:val="nil"/>
              <w:left w:val="single" w:sz="4" w:space="0" w:color="auto"/>
              <w:bottom w:val="single" w:sz="8" w:space="0" w:color="auto"/>
              <w:right w:val="nil"/>
            </w:tcBorders>
            <w:noWrap/>
            <w:vAlign w:val="bottom"/>
          </w:tcPr>
          <w:p w:rsidR="00645A76" w:rsidRPr="00523760" w:rsidRDefault="00645A76" w:rsidP="00896462">
            <w:pPr>
              <w:jc w:val="right"/>
              <w:rPr>
                <w:rFonts w:ascii="Arial" w:hAnsi="Arial" w:cs="Arial"/>
                <w:b/>
                <w:bCs/>
              </w:rPr>
            </w:pPr>
            <w:r>
              <w:rPr>
                <w:rFonts w:ascii="Arial" w:hAnsi="Arial" w:cs="Arial"/>
                <w:b/>
                <w:bCs/>
              </w:rPr>
              <w:t>41.6m</w:t>
            </w:r>
          </w:p>
        </w:tc>
        <w:tc>
          <w:tcPr>
            <w:tcW w:w="851" w:type="dxa"/>
            <w:tcBorders>
              <w:top w:val="nil"/>
              <w:left w:val="single" w:sz="4" w:space="0" w:color="auto"/>
              <w:bottom w:val="single" w:sz="8" w:space="0" w:color="auto"/>
              <w:right w:val="single" w:sz="8" w:space="0" w:color="auto"/>
            </w:tcBorders>
            <w:noWrap/>
            <w:vAlign w:val="bottom"/>
          </w:tcPr>
          <w:p w:rsidR="00645A76" w:rsidRPr="00523760" w:rsidRDefault="00645A76" w:rsidP="00896462">
            <w:pPr>
              <w:rPr>
                <w:rFonts w:ascii="Arial" w:hAnsi="Arial" w:cs="Arial"/>
              </w:rPr>
            </w:pPr>
            <w:r w:rsidRPr="00523760">
              <w:rPr>
                <w:rFonts w:ascii="Arial" w:hAnsi="Arial" w:cs="Arial"/>
              </w:rPr>
              <w:t> </w:t>
            </w:r>
          </w:p>
        </w:tc>
      </w:tr>
    </w:tbl>
    <w:p w:rsidR="00645A76" w:rsidRDefault="00645A76" w:rsidP="00645A76">
      <w:pPr>
        <w:pStyle w:val="Header"/>
        <w:jc w:val="right"/>
        <w:rPr>
          <w:bCs/>
          <w:szCs w:val="24"/>
        </w:rPr>
        <w:sectPr w:rsidR="00645A76" w:rsidSect="00896462">
          <w:pgSz w:w="11906" w:h="16838"/>
          <w:pgMar w:top="1135" w:right="1797" w:bottom="709" w:left="1797" w:header="720" w:footer="720" w:gutter="0"/>
          <w:cols w:space="720" w:equalWidth="0">
            <w:col w:w="8306"/>
          </w:cols>
        </w:sectPr>
      </w:pPr>
    </w:p>
    <w:p w:rsidR="00645A76" w:rsidRDefault="00645A76" w:rsidP="00645A76">
      <w:pPr>
        <w:pStyle w:val="Header"/>
        <w:jc w:val="right"/>
        <w:rPr>
          <w:bCs/>
          <w:szCs w:val="24"/>
        </w:rPr>
      </w:pPr>
      <w:r>
        <w:rPr>
          <w:b/>
          <w:szCs w:val="24"/>
        </w:rPr>
        <w:lastRenderedPageBreak/>
        <w:t>Appendix 2</w:t>
      </w:r>
    </w:p>
    <w:p w:rsidR="00645A76" w:rsidRDefault="00645A76" w:rsidP="00645A76">
      <w:pPr>
        <w:rPr>
          <w:rFonts w:ascii="Arial" w:hAnsi="Arial" w:cs="Arial"/>
          <w:b/>
          <w:sz w:val="24"/>
          <w:szCs w:val="24"/>
        </w:rPr>
      </w:pPr>
    </w:p>
    <w:p w:rsidR="00645A76" w:rsidRPr="006A2121" w:rsidRDefault="00645A76" w:rsidP="00645A76">
      <w:pPr>
        <w:rPr>
          <w:rFonts w:ascii="Arial" w:hAnsi="Arial" w:cs="Arial"/>
          <w:b/>
          <w:sz w:val="24"/>
          <w:szCs w:val="24"/>
        </w:rPr>
      </w:pPr>
      <w:r w:rsidRPr="006A2121">
        <w:rPr>
          <w:rFonts w:ascii="Arial" w:hAnsi="Arial" w:cs="Arial"/>
          <w:b/>
          <w:sz w:val="24"/>
          <w:szCs w:val="24"/>
        </w:rPr>
        <w:t>PROPOSALS FOR SETTING UP A PUBLIC HEALTH DOMAIN IN QOF</w:t>
      </w:r>
    </w:p>
    <w:p w:rsidR="00645A76" w:rsidRPr="006A2121" w:rsidRDefault="00645A76" w:rsidP="00645A76">
      <w:pPr>
        <w:rPr>
          <w:rFonts w:ascii="Arial" w:hAnsi="Arial" w:cs="Arial"/>
          <w:sz w:val="24"/>
          <w:szCs w:val="24"/>
        </w:rPr>
      </w:pPr>
    </w:p>
    <w:p w:rsidR="00645A76" w:rsidRPr="006A2121" w:rsidRDefault="00645A76" w:rsidP="00645A76">
      <w:pPr>
        <w:numPr>
          <w:ilvl w:val="0"/>
          <w:numId w:val="6"/>
        </w:numPr>
        <w:tabs>
          <w:tab w:val="clear" w:pos="720"/>
          <w:tab w:val="num" w:pos="540"/>
        </w:tabs>
        <w:ind w:left="540" w:hanging="540"/>
        <w:rPr>
          <w:rFonts w:ascii="Arial" w:hAnsi="Arial" w:cs="Arial"/>
          <w:sz w:val="24"/>
          <w:szCs w:val="24"/>
        </w:rPr>
      </w:pPr>
      <w:r w:rsidRPr="006A2121">
        <w:rPr>
          <w:rFonts w:ascii="Arial" w:hAnsi="Arial" w:cs="Arial"/>
          <w:sz w:val="24"/>
          <w:szCs w:val="24"/>
        </w:rPr>
        <w:t>The proposed rationale for including indicators in the Public Health Domain was set out in a letter from Richard Armstrong dated 13 February 2012 and discussed with the GPC at a meeting with the Department of Health on 6 June and subsequently by the negotiating parties. The rationale is as follows:</w:t>
      </w:r>
    </w:p>
    <w:p w:rsidR="00645A76" w:rsidRPr="006A2121" w:rsidRDefault="00645A76" w:rsidP="00645A76">
      <w:pPr>
        <w:rPr>
          <w:rFonts w:ascii="Arial" w:hAnsi="Arial" w:cs="Arial"/>
          <w:sz w:val="24"/>
          <w:szCs w:val="24"/>
        </w:rPr>
      </w:pPr>
    </w:p>
    <w:p w:rsidR="00645A76" w:rsidRPr="006A2121" w:rsidRDefault="00645A76" w:rsidP="00645A76">
      <w:pPr>
        <w:numPr>
          <w:ilvl w:val="1"/>
          <w:numId w:val="6"/>
        </w:numPr>
        <w:tabs>
          <w:tab w:val="clear" w:pos="1420"/>
          <w:tab w:val="num" w:pos="1080"/>
        </w:tabs>
        <w:autoSpaceDE w:val="0"/>
        <w:autoSpaceDN w:val="0"/>
        <w:adjustRightInd w:val="0"/>
        <w:ind w:left="1080" w:hanging="540"/>
        <w:rPr>
          <w:rFonts w:ascii="Arial" w:hAnsi="Arial" w:cs="Arial"/>
          <w:color w:val="000000"/>
          <w:sz w:val="24"/>
          <w:szCs w:val="24"/>
        </w:rPr>
      </w:pPr>
      <w:r w:rsidRPr="006A2121">
        <w:rPr>
          <w:rFonts w:ascii="Arial" w:hAnsi="Arial" w:cs="Arial"/>
          <w:color w:val="000000"/>
          <w:sz w:val="24"/>
          <w:szCs w:val="24"/>
        </w:rPr>
        <w:t>where a clinical area is mainly related to diagnosis and management of existing disease it should remain within the main body of QOF;</w:t>
      </w:r>
    </w:p>
    <w:p w:rsidR="00645A76" w:rsidRPr="006A2121" w:rsidRDefault="00645A76" w:rsidP="00645A76">
      <w:pPr>
        <w:numPr>
          <w:ilvl w:val="1"/>
          <w:numId w:val="6"/>
        </w:numPr>
        <w:tabs>
          <w:tab w:val="clear" w:pos="1420"/>
          <w:tab w:val="num" w:pos="1080"/>
        </w:tabs>
        <w:autoSpaceDE w:val="0"/>
        <w:autoSpaceDN w:val="0"/>
        <w:adjustRightInd w:val="0"/>
        <w:ind w:left="1080" w:hanging="540"/>
        <w:rPr>
          <w:rFonts w:ascii="Arial" w:hAnsi="Arial" w:cs="Arial"/>
          <w:color w:val="000000"/>
          <w:sz w:val="24"/>
          <w:szCs w:val="24"/>
        </w:rPr>
      </w:pPr>
      <w:r w:rsidRPr="006A2121">
        <w:rPr>
          <w:rFonts w:ascii="Arial" w:hAnsi="Arial" w:cs="Arial"/>
          <w:color w:val="000000"/>
          <w:sz w:val="24"/>
          <w:szCs w:val="24"/>
        </w:rPr>
        <w:t>where an area is mainly related to screening, case-finding or prevention of disease in otherwise healthy individuals or to lifestyle interventions (e.g. obesity, physical exercise, smoking, alcohol, sexual health) it should be placed in the Public Health Domain;</w:t>
      </w:r>
    </w:p>
    <w:p w:rsidR="00645A76" w:rsidRPr="006A2121" w:rsidRDefault="00645A76" w:rsidP="00645A76">
      <w:pPr>
        <w:numPr>
          <w:ilvl w:val="1"/>
          <w:numId w:val="6"/>
        </w:numPr>
        <w:tabs>
          <w:tab w:val="clear" w:pos="1420"/>
          <w:tab w:val="num" w:pos="1080"/>
        </w:tabs>
        <w:autoSpaceDE w:val="0"/>
        <w:autoSpaceDN w:val="0"/>
        <w:adjustRightInd w:val="0"/>
        <w:ind w:left="1080" w:hanging="540"/>
        <w:rPr>
          <w:rFonts w:ascii="Arial" w:hAnsi="Arial" w:cs="Arial"/>
          <w:color w:val="000000"/>
          <w:sz w:val="24"/>
          <w:szCs w:val="24"/>
        </w:rPr>
      </w:pPr>
      <w:r w:rsidRPr="006A2121">
        <w:rPr>
          <w:rFonts w:ascii="Arial" w:hAnsi="Arial" w:cs="Arial"/>
          <w:color w:val="000000"/>
          <w:sz w:val="24"/>
          <w:szCs w:val="24"/>
        </w:rPr>
        <w:t>clinical areas should not be split between the NHS and PH Domains, but there needs to be consultation between NHSCB and Public Health England where an area mainly relates to one domain but has indicators or aspects of indicators that relate to the other.</w:t>
      </w:r>
    </w:p>
    <w:p w:rsidR="00645A76" w:rsidRPr="006A2121" w:rsidRDefault="00645A76" w:rsidP="00645A76">
      <w:pPr>
        <w:rPr>
          <w:rFonts w:ascii="Arial" w:hAnsi="Arial" w:cs="Arial"/>
          <w:b/>
          <w:sz w:val="24"/>
          <w:szCs w:val="24"/>
        </w:rPr>
      </w:pPr>
    </w:p>
    <w:p w:rsidR="00645A76" w:rsidRPr="006A2121" w:rsidRDefault="00645A76" w:rsidP="00645A76">
      <w:pPr>
        <w:numPr>
          <w:ilvl w:val="0"/>
          <w:numId w:val="6"/>
        </w:numPr>
        <w:tabs>
          <w:tab w:val="clear" w:pos="720"/>
          <w:tab w:val="num" w:pos="540"/>
        </w:tabs>
        <w:ind w:left="540" w:hanging="540"/>
        <w:rPr>
          <w:rFonts w:ascii="Arial" w:hAnsi="Arial" w:cs="Arial"/>
          <w:sz w:val="24"/>
          <w:szCs w:val="24"/>
        </w:rPr>
      </w:pPr>
      <w:r w:rsidRPr="006A2121">
        <w:rPr>
          <w:rFonts w:ascii="Arial" w:hAnsi="Arial" w:cs="Arial"/>
          <w:sz w:val="24"/>
          <w:szCs w:val="24"/>
        </w:rPr>
        <w:t>A list of the areas which are proposed to be moved to the Public Health Domain is as follows:</w:t>
      </w:r>
    </w:p>
    <w:p w:rsidR="00645A76" w:rsidRPr="006A2121" w:rsidRDefault="00645A76" w:rsidP="00645A76">
      <w:pPr>
        <w:rPr>
          <w:rFonts w:ascii="Arial" w:hAnsi="Arial" w:cs="Arial"/>
          <w:sz w:val="24"/>
          <w:szCs w:val="24"/>
        </w:rPr>
      </w:pPr>
    </w:p>
    <w:p w:rsidR="00645A76" w:rsidRPr="006A2121" w:rsidRDefault="00645A76" w:rsidP="00645A76">
      <w:pPr>
        <w:numPr>
          <w:ilvl w:val="2"/>
          <w:numId w:val="6"/>
        </w:numPr>
        <w:rPr>
          <w:rFonts w:ascii="Arial" w:hAnsi="Arial" w:cs="Arial"/>
          <w:sz w:val="24"/>
          <w:szCs w:val="24"/>
        </w:rPr>
      </w:pPr>
      <w:r w:rsidRPr="006A2121">
        <w:rPr>
          <w:rFonts w:ascii="Arial" w:hAnsi="Arial" w:cs="Arial"/>
          <w:sz w:val="24"/>
          <w:szCs w:val="24"/>
        </w:rPr>
        <w:t>Cardiovascular disease primary prevention</w:t>
      </w:r>
    </w:p>
    <w:p w:rsidR="00645A76" w:rsidRPr="006A2121" w:rsidRDefault="00645A76" w:rsidP="00645A76">
      <w:pPr>
        <w:numPr>
          <w:ilvl w:val="2"/>
          <w:numId w:val="6"/>
        </w:numPr>
        <w:rPr>
          <w:rFonts w:ascii="Arial" w:hAnsi="Arial" w:cs="Arial"/>
          <w:sz w:val="24"/>
          <w:szCs w:val="24"/>
        </w:rPr>
      </w:pPr>
      <w:r w:rsidRPr="006A2121">
        <w:rPr>
          <w:rFonts w:ascii="Arial" w:hAnsi="Arial" w:cs="Arial"/>
          <w:sz w:val="24"/>
          <w:szCs w:val="24"/>
        </w:rPr>
        <w:t>Obesity</w:t>
      </w:r>
    </w:p>
    <w:p w:rsidR="00645A76" w:rsidRPr="006A2121" w:rsidRDefault="00645A76" w:rsidP="00645A76">
      <w:pPr>
        <w:numPr>
          <w:ilvl w:val="2"/>
          <w:numId w:val="6"/>
        </w:numPr>
        <w:rPr>
          <w:rFonts w:ascii="Arial" w:hAnsi="Arial" w:cs="Arial"/>
          <w:sz w:val="24"/>
          <w:szCs w:val="24"/>
        </w:rPr>
      </w:pPr>
      <w:r w:rsidRPr="006A2121">
        <w:rPr>
          <w:rFonts w:ascii="Arial" w:hAnsi="Arial" w:cs="Arial"/>
          <w:sz w:val="24"/>
          <w:szCs w:val="24"/>
        </w:rPr>
        <w:t>Smoking</w:t>
      </w:r>
    </w:p>
    <w:p w:rsidR="00645A76" w:rsidRPr="006A2121" w:rsidRDefault="00645A76" w:rsidP="00645A76">
      <w:pPr>
        <w:numPr>
          <w:ilvl w:val="2"/>
          <w:numId w:val="6"/>
        </w:numPr>
        <w:rPr>
          <w:rFonts w:ascii="Arial" w:hAnsi="Arial" w:cs="Arial"/>
          <w:sz w:val="24"/>
          <w:szCs w:val="24"/>
        </w:rPr>
      </w:pPr>
      <w:r w:rsidRPr="006A2121">
        <w:rPr>
          <w:rFonts w:ascii="Arial" w:hAnsi="Arial" w:cs="Arial"/>
          <w:sz w:val="24"/>
          <w:szCs w:val="24"/>
        </w:rPr>
        <w:t>Cervical screening</w:t>
      </w:r>
    </w:p>
    <w:p w:rsidR="00645A76" w:rsidRPr="006A2121" w:rsidRDefault="00645A76" w:rsidP="00645A76">
      <w:pPr>
        <w:numPr>
          <w:ilvl w:val="2"/>
          <w:numId w:val="6"/>
        </w:numPr>
        <w:rPr>
          <w:rFonts w:ascii="Arial" w:hAnsi="Arial" w:cs="Arial"/>
          <w:sz w:val="24"/>
          <w:szCs w:val="24"/>
        </w:rPr>
      </w:pPr>
      <w:r w:rsidRPr="006A2121">
        <w:rPr>
          <w:rFonts w:ascii="Arial" w:hAnsi="Arial" w:cs="Arial"/>
          <w:sz w:val="24"/>
          <w:szCs w:val="24"/>
        </w:rPr>
        <w:t>Child health surveillance</w:t>
      </w:r>
    </w:p>
    <w:p w:rsidR="00645A76" w:rsidRPr="006A2121" w:rsidRDefault="00645A76" w:rsidP="00645A76">
      <w:pPr>
        <w:numPr>
          <w:ilvl w:val="2"/>
          <w:numId w:val="6"/>
        </w:numPr>
        <w:rPr>
          <w:rFonts w:ascii="Arial" w:hAnsi="Arial" w:cs="Arial"/>
          <w:sz w:val="24"/>
          <w:szCs w:val="24"/>
        </w:rPr>
      </w:pPr>
      <w:r w:rsidRPr="006A2121">
        <w:rPr>
          <w:rFonts w:ascii="Arial" w:hAnsi="Arial" w:cs="Arial"/>
          <w:sz w:val="24"/>
          <w:szCs w:val="24"/>
        </w:rPr>
        <w:t>Maternity services</w:t>
      </w:r>
    </w:p>
    <w:p w:rsidR="00645A76" w:rsidRPr="006A2121" w:rsidRDefault="00645A76" w:rsidP="00645A76">
      <w:pPr>
        <w:numPr>
          <w:ilvl w:val="2"/>
          <w:numId w:val="6"/>
        </w:numPr>
        <w:rPr>
          <w:rFonts w:ascii="Arial" w:hAnsi="Arial" w:cs="Arial"/>
          <w:sz w:val="24"/>
          <w:szCs w:val="24"/>
        </w:rPr>
      </w:pPr>
      <w:r w:rsidRPr="006A2121">
        <w:rPr>
          <w:rFonts w:ascii="Arial" w:hAnsi="Arial" w:cs="Arial"/>
          <w:sz w:val="24"/>
          <w:szCs w:val="24"/>
        </w:rPr>
        <w:t>Contraception</w:t>
      </w:r>
    </w:p>
    <w:p w:rsidR="00645A76" w:rsidRPr="006A2121" w:rsidRDefault="00645A76" w:rsidP="00645A76">
      <w:pPr>
        <w:rPr>
          <w:rFonts w:ascii="Arial" w:hAnsi="Arial" w:cs="Arial"/>
          <w:sz w:val="24"/>
          <w:szCs w:val="24"/>
        </w:rPr>
      </w:pPr>
    </w:p>
    <w:p w:rsidR="00645A76" w:rsidRPr="006A2121" w:rsidRDefault="00645A76" w:rsidP="00645A76">
      <w:pPr>
        <w:numPr>
          <w:ilvl w:val="0"/>
          <w:numId w:val="6"/>
        </w:numPr>
        <w:tabs>
          <w:tab w:val="clear" w:pos="720"/>
          <w:tab w:val="num" w:pos="540"/>
        </w:tabs>
        <w:ind w:left="540" w:hanging="540"/>
        <w:rPr>
          <w:rFonts w:ascii="Arial" w:hAnsi="Arial" w:cs="Arial"/>
          <w:sz w:val="24"/>
          <w:szCs w:val="24"/>
        </w:rPr>
      </w:pPr>
      <w:r w:rsidRPr="006A2121">
        <w:rPr>
          <w:rFonts w:ascii="Arial" w:hAnsi="Arial" w:cs="Arial"/>
          <w:sz w:val="24"/>
          <w:szCs w:val="24"/>
        </w:rPr>
        <w:t>In addition the following indicators would be moved to the Public Health Domain from the Organisational Domain:</w:t>
      </w:r>
    </w:p>
    <w:p w:rsidR="00645A76" w:rsidRPr="006A2121" w:rsidRDefault="00645A76" w:rsidP="00645A76">
      <w:pPr>
        <w:ind w:left="360"/>
        <w:rPr>
          <w:rFonts w:ascii="Arial" w:hAnsi="Arial" w:cs="Arial"/>
          <w:sz w:val="24"/>
          <w:szCs w:val="24"/>
        </w:rPr>
      </w:pPr>
    </w:p>
    <w:p w:rsidR="00645A76" w:rsidRPr="006A2121" w:rsidRDefault="00645A76" w:rsidP="00645A76">
      <w:pPr>
        <w:numPr>
          <w:ilvl w:val="2"/>
          <w:numId w:val="6"/>
        </w:numPr>
        <w:rPr>
          <w:rFonts w:ascii="Arial" w:hAnsi="Arial" w:cs="Arial"/>
          <w:sz w:val="24"/>
          <w:szCs w:val="24"/>
        </w:rPr>
      </w:pPr>
      <w:r w:rsidRPr="006A2121">
        <w:rPr>
          <w:rFonts w:ascii="Arial" w:hAnsi="Arial" w:cs="Arial"/>
          <w:sz w:val="24"/>
          <w:szCs w:val="24"/>
        </w:rPr>
        <w:t xml:space="preserve">New NICE indicator NM61 replacing Records 11 and 17 (blood pressure </w:t>
      </w:r>
      <w:r>
        <w:rPr>
          <w:rFonts w:ascii="Arial" w:hAnsi="Arial" w:cs="Arial"/>
          <w:sz w:val="24"/>
          <w:szCs w:val="24"/>
        </w:rPr>
        <w:t>recording</w:t>
      </w:r>
      <w:r w:rsidRPr="006A2121">
        <w:rPr>
          <w:rFonts w:ascii="Arial" w:hAnsi="Arial" w:cs="Arial"/>
          <w:sz w:val="24"/>
          <w:szCs w:val="24"/>
        </w:rPr>
        <w:t>)</w:t>
      </w:r>
    </w:p>
    <w:p w:rsidR="00645A76" w:rsidRPr="006A2121" w:rsidRDefault="00645A76" w:rsidP="00645A76">
      <w:pPr>
        <w:numPr>
          <w:ilvl w:val="2"/>
          <w:numId w:val="6"/>
        </w:numPr>
        <w:rPr>
          <w:rFonts w:ascii="Arial" w:hAnsi="Arial" w:cs="Arial"/>
          <w:sz w:val="24"/>
          <w:szCs w:val="24"/>
        </w:rPr>
      </w:pPr>
      <w:r w:rsidRPr="006A2121">
        <w:rPr>
          <w:rFonts w:ascii="Arial" w:hAnsi="Arial" w:cs="Arial"/>
          <w:sz w:val="24"/>
          <w:szCs w:val="24"/>
        </w:rPr>
        <w:t xml:space="preserve">Information 05 (smoking </w:t>
      </w:r>
      <w:r>
        <w:rPr>
          <w:rFonts w:ascii="Arial" w:hAnsi="Arial" w:cs="Arial"/>
          <w:sz w:val="24"/>
          <w:szCs w:val="24"/>
        </w:rPr>
        <w:t>cessation strategy</w:t>
      </w:r>
      <w:r w:rsidRPr="006A2121">
        <w:rPr>
          <w:rFonts w:ascii="Arial" w:hAnsi="Arial" w:cs="Arial"/>
          <w:sz w:val="24"/>
          <w:szCs w:val="24"/>
        </w:rPr>
        <w:t>).</w:t>
      </w:r>
    </w:p>
    <w:p w:rsidR="00645A76" w:rsidRPr="006A2121" w:rsidRDefault="00645A76" w:rsidP="00645A76">
      <w:pPr>
        <w:rPr>
          <w:rFonts w:ascii="Arial" w:hAnsi="Arial" w:cs="Arial"/>
          <w:sz w:val="24"/>
          <w:szCs w:val="24"/>
        </w:rPr>
      </w:pPr>
    </w:p>
    <w:p w:rsidR="00645A76" w:rsidRPr="006A2121" w:rsidRDefault="00645A76" w:rsidP="00645A76">
      <w:pPr>
        <w:numPr>
          <w:ilvl w:val="0"/>
          <w:numId w:val="6"/>
        </w:numPr>
        <w:tabs>
          <w:tab w:val="clear" w:pos="720"/>
          <w:tab w:val="num" w:pos="540"/>
        </w:tabs>
        <w:ind w:left="540" w:hanging="540"/>
        <w:rPr>
          <w:rFonts w:ascii="Arial" w:hAnsi="Arial" w:cs="Arial"/>
          <w:sz w:val="24"/>
          <w:szCs w:val="24"/>
        </w:rPr>
      </w:pPr>
      <w:r w:rsidRPr="006A2121">
        <w:rPr>
          <w:rFonts w:ascii="Arial" w:hAnsi="Arial" w:cs="Arial"/>
          <w:sz w:val="24"/>
          <w:szCs w:val="24"/>
        </w:rPr>
        <w:t>The following QOF payment rules will apply to the Public Health Domain:</w:t>
      </w:r>
    </w:p>
    <w:p w:rsidR="00645A76" w:rsidRPr="006A2121" w:rsidRDefault="00645A76" w:rsidP="00645A76">
      <w:pPr>
        <w:rPr>
          <w:rFonts w:ascii="Arial" w:hAnsi="Arial" w:cs="Arial"/>
          <w:sz w:val="24"/>
          <w:szCs w:val="24"/>
        </w:rPr>
      </w:pPr>
    </w:p>
    <w:p w:rsidR="00645A76" w:rsidRPr="006A2121" w:rsidRDefault="00645A76" w:rsidP="00645A76">
      <w:pPr>
        <w:numPr>
          <w:ilvl w:val="1"/>
          <w:numId w:val="6"/>
        </w:numPr>
        <w:tabs>
          <w:tab w:val="clear" w:pos="1420"/>
          <w:tab w:val="num" w:pos="1080"/>
        </w:tabs>
        <w:ind w:left="1080" w:hanging="540"/>
        <w:rPr>
          <w:rFonts w:ascii="Arial" w:hAnsi="Arial" w:cs="Arial"/>
          <w:sz w:val="24"/>
          <w:szCs w:val="24"/>
        </w:rPr>
      </w:pPr>
      <w:r w:rsidRPr="006A2121">
        <w:rPr>
          <w:rFonts w:ascii="Arial" w:hAnsi="Arial" w:cs="Arial"/>
          <w:sz w:val="24"/>
          <w:szCs w:val="24"/>
        </w:rPr>
        <w:t>The list size weighting (CPI) applies to the whole of QOF, including the Public Health Domain;</w:t>
      </w:r>
    </w:p>
    <w:p w:rsidR="00645A76" w:rsidRPr="006A2121" w:rsidRDefault="00645A76" w:rsidP="00645A76">
      <w:pPr>
        <w:numPr>
          <w:ilvl w:val="1"/>
          <w:numId w:val="6"/>
        </w:numPr>
        <w:tabs>
          <w:tab w:val="clear" w:pos="1420"/>
          <w:tab w:val="num" w:pos="1080"/>
        </w:tabs>
        <w:ind w:left="1080" w:hanging="540"/>
        <w:rPr>
          <w:rFonts w:ascii="Arial" w:hAnsi="Arial" w:cs="Arial"/>
          <w:sz w:val="24"/>
          <w:szCs w:val="24"/>
        </w:rPr>
      </w:pPr>
      <w:r w:rsidRPr="006A2121">
        <w:rPr>
          <w:rFonts w:ascii="Arial" w:hAnsi="Arial" w:cs="Arial"/>
          <w:sz w:val="24"/>
          <w:szCs w:val="24"/>
        </w:rPr>
        <w:t>Exception reporting rules will apply to all fraction indicators as appropriate;</w:t>
      </w:r>
    </w:p>
    <w:p w:rsidR="00645A76" w:rsidRPr="006A2121" w:rsidRDefault="00645A76" w:rsidP="00645A76">
      <w:pPr>
        <w:numPr>
          <w:ilvl w:val="1"/>
          <w:numId w:val="6"/>
        </w:numPr>
        <w:tabs>
          <w:tab w:val="clear" w:pos="1420"/>
          <w:tab w:val="num" w:pos="1080"/>
        </w:tabs>
        <w:ind w:left="1080" w:hanging="540"/>
        <w:rPr>
          <w:rFonts w:ascii="Arial" w:hAnsi="Arial" w:cs="Arial"/>
          <w:sz w:val="24"/>
          <w:szCs w:val="24"/>
        </w:rPr>
      </w:pPr>
      <w:r w:rsidRPr="006A2121">
        <w:rPr>
          <w:rFonts w:ascii="Arial" w:hAnsi="Arial" w:cs="Arial"/>
          <w:sz w:val="24"/>
          <w:szCs w:val="24"/>
        </w:rPr>
        <w:t xml:space="preserve">The prevalence weighting (Adjusted Practice Disease Factor set out at Annex F to the SFE) will apply to all indicators where the target population consists of patients on a disease register (i.e. all </w:t>
      </w:r>
      <w:r w:rsidRPr="006A2121">
        <w:rPr>
          <w:rFonts w:ascii="Arial" w:hAnsi="Arial" w:cs="Arial"/>
          <w:sz w:val="24"/>
          <w:szCs w:val="24"/>
        </w:rPr>
        <w:lastRenderedPageBreak/>
        <w:t>indicators moved from the Clinical Domain</w:t>
      </w:r>
      <w:r>
        <w:rPr>
          <w:rFonts w:ascii="Arial" w:hAnsi="Arial" w:cs="Arial"/>
          <w:sz w:val="24"/>
          <w:szCs w:val="24"/>
        </w:rPr>
        <w:t xml:space="preserve"> except smoking indicators for patients aged 15 and over</w:t>
      </w:r>
      <w:r w:rsidRPr="006A2121">
        <w:rPr>
          <w:rFonts w:ascii="Arial" w:hAnsi="Arial" w:cs="Arial"/>
          <w:sz w:val="24"/>
          <w:szCs w:val="24"/>
        </w:rPr>
        <w:t>);</w:t>
      </w:r>
    </w:p>
    <w:p w:rsidR="00645A76" w:rsidRPr="006A2121" w:rsidRDefault="00645A76" w:rsidP="00645A76">
      <w:pPr>
        <w:numPr>
          <w:ilvl w:val="1"/>
          <w:numId w:val="6"/>
        </w:numPr>
        <w:tabs>
          <w:tab w:val="clear" w:pos="1420"/>
          <w:tab w:val="num" w:pos="1080"/>
        </w:tabs>
        <w:ind w:left="1080" w:hanging="540"/>
        <w:rPr>
          <w:rFonts w:ascii="Arial" w:hAnsi="Arial" w:cs="Arial"/>
          <w:sz w:val="24"/>
          <w:szCs w:val="24"/>
        </w:rPr>
      </w:pPr>
      <w:r w:rsidRPr="006A2121">
        <w:rPr>
          <w:rFonts w:ascii="Arial" w:hAnsi="Arial" w:cs="Arial"/>
          <w:sz w:val="24"/>
          <w:szCs w:val="24"/>
        </w:rPr>
        <w:t>The additional services calculations (Target Population Factor and length of additional service obligation set out at Annex E to the SFE) will apply to all indicators where the target population consists of patients in the additional services target populations (i.e. all indicators moved from the Additional Services Domain);</w:t>
      </w:r>
    </w:p>
    <w:p w:rsidR="00645A76" w:rsidRPr="006A2121" w:rsidRDefault="00645A76" w:rsidP="00645A76">
      <w:pPr>
        <w:numPr>
          <w:ilvl w:val="1"/>
          <w:numId w:val="6"/>
        </w:numPr>
        <w:tabs>
          <w:tab w:val="clear" w:pos="1420"/>
          <w:tab w:val="num" w:pos="1080"/>
        </w:tabs>
        <w:ind w:left="1080" w:hanging="540"/>
        <w:rPr>
          <w:rFonts w:ascii="Arial" w:hAnsi="Arial" w:cs="Arial"/>
          <w:sz w:val="24"/>
          <w:szCs w:val="24"/>
        </w:rPr>
      </w:pPr>
      <w:r w:rsidRPr="006A2121">
        <w:rPr>
          <w:rFonts w:ascii="Arial" w:hAnsi="Arial" w:cs="Arial"/>
          <w:sz w:val="24"/>
          <w:szCs w:val="24"/>
        </w:rPr>
        <w:t>Indicators where the target population is the practice list, or patients on the practice list above a certain age, will only have the list size weighting applied (CPI) and will not have either the prevalence weighting or additiona</w:t>
      </w:r>
      <w:r>
        <w:rPr>
          <w:rFonts w:ascii="Arial" w:hAnsi="Arial" w:cs="Arial"/>
          <w:sz w:val="24"/>
          <w:szCs w:val="24"/>
        </w:rPr>
        <w:t>l services calculations applied (i.e. smoking cessation strategy, smoking indicators for patients aged 15 and over and blood pressure recording).</w:t>
      </w:r>
    </w:p>
    <w:p w:rsidR="00645A76" w:rsidRPr="006A2121" w:rsidRDefault="00645A76" w:rsidP="00645A76">
      <w:pPr>
        <w:ind w:left="540"/>
        <w:rPr>
          <w:rFonts w:ascii="Arial" w:hAnsi="Arial" w:cs="Arial"/>
          <w:sz w:val="24"/>
          <w:szCs w:val="24"/>
        </w:rPr>
      </w:pPr>
    </w:p>
    <w:p w:rsidR="00645A76" w:rsidRPr="006A2121" w:rsidRDefault="00645A76" w:rsidP="00645A76">
      <w:pPr>
        <w:ind w:left="540"/>
        <w:rPr>
          <w:rFonts w:ascii="Arial" w:hAnsi="Arial" w:cs="Arial"/>
          <w:sz w:val="24"/>
          <w:szCs w:val="24"/>
        </w:rPr>
      </w:pPr>
    </w:p>
    <w:p w:rsidR="00645A76" w:rsidRPr="006A2121" w:rsidRDefault="00645A76" w:rsidP="00645A76">
      <w:pPr>
        <w:ind w:left="360"/>
        <w:rPr>
          <w:rFonts w:ascii="Arial" w:hAnsi="Arial" w:cs="Arial"/>
          <w:sz w:val="24"/>
          <w:szCs w:val="24"/>
        </w:rPr>
      </w:pPr>
    </w:p>
    <w:p w:rsidR="00645A76" w:rsidRPr="006A2121" w:rsidRDefault="00645A76" w:rsidP="00645A76">
      <w:pPr>
        <w:ind w:left="360"/>
        <w:rPr>
          <w:rFonts w:ascii="Arial" w:hAnsi="Arial" w:cs="Arial"/>
          <w:sz w:val="24"/>
          <w:szCs w:val="24"/>
        </w:rPr>
      </w:pPr>
      <w:r w:rsidRPr="006A2121">
        <w:rPr>
          <w:rFonts w:ascii="Arial" w:hAnsi="Arial" w:cs="Arial"/>
          <w:sz w:val="24"/>
          <w:szCs w:val="24"/>
        </w:rPr>
        <w:t xml:space="preserve"> </w:t>
      </w:r>
    </w:p>
    <w:p w:rsidR="00645A76" w:rsidRPr="006A2121" w:rsidRDefault="00645A76" w:rsidP="00645A76">
      <w:pPr>
        <w:rPr>
          <w:rFonts w:ascii="Arial" w:hAnsi="Arial" w:cs="Arial"/>
          <w:b/>
          <w:sz w:val="24"/>
          <w:szCs w:val="24"/>
        </w:rPr>
      </w:pPr>
    </w:p>
    <w:p w:rsidR="00645A76" w:rsidRPr="006A2121" w:rsidRDefault="00645A76" w:rsidP="00645A76">
      <w:pPr>
        <w:ind w:left="360"/>
        <w:rPr>
          <w:rFonts w:ascii="Arial" w:hAnsi="Arial" w:cs="Arial"/>
          <w:sz w:val="24"/>
          <w:szCs w:val="24"/>
        </w:rPr>
      </w:pPr>
    </w:p>
    <w:p w:rsidR="00645A76" w:rsidRPr="006A2121" w:rsidRDefault="00645A76" w:rsidP="00645A76">
      <w:pPr>
        <w:ind w:left="360"/>
        <w:rPr>
          <w:rFonts w:ascii="Arial" w:hAnsi="Arial" w:cs="Arial"/>
          <w:sz w:val="24"/>
          <w:szCs w:val="24"/>
        </w:rPr>
      </w:pPr>
    </w:p>
    <w:p w:rsidR="00645A76" w:rsidRPr="006A2121" w:rsidRDefault="00645A76" w:rsidP="00645A76">
      <w:pPr>
        <w:ind w:left="360"/>
        <w:rPr>
          <w:rFonts w:ascii="Arial" w:hAnsi="Arial" w:cs="Arial"/>
          <w:sz w:val="24"/>
          <w:szCs w:val="24"/>
        </w:rPr>
      </w:pPr>
    </w:p>
    <w:p w:rsidR="00645A76" w:rsidRPr="006A2121" w:rsidRDefault="00645A76" w:rsidP="00645A76">
      <w:pPr>
        <w:pStyle w:val="Header"/>
        <w:rPr>
          <w:bCs/>
          <w:szCs w:val="24"/>
        </w:rPr>
      </w:pPr>
    </w:p>
    <w:p w:rsidR="00645A76" w:rsidRPr="006A2121" w:rsidRDefault="00645A76" w:rsidP="00645A76">
      <w:pPr>
        <w:pStyle w:val="Header"/>
        <w:rPr>
          <w:bCs/>
          <w:szCs w:val="24"/>
        </w:rPr>
      </w:pPr>
    </w:p>
    <w:p w:rsidR="00645A76" w:rsidRPr="006A2121" w:rsidRDefault="00645A76" w:rsidP="00645A76">
      <w:pPr>
        <w:pStyle w:val="Header"/>
        <w:rPr>
          <w:bCs/>
          <w:szCs w:val="24"/>
        </w:rPr>
      </w:pPr>
    </w:p>
    <w:p w:rsidR="00645A76" w:rsidRPr="006A2121" w:rsidRDefault="00645A76" w:rsidP="00645A76">
      <w:pPr>
        <w:pStyle w:val="Header"/>
        <w:rPr>
          <w:bCs/>
          <w:szCs w:val="24"/>
        </w:rPr>
      </w:pPr>
    </w:p>
    <w:p w:rsidR="00645A76" w:rsidRPr="006A2121" w:rsidRDefault="00645A76" w:rsidP="00645A76">
      <w:pPr>
        <w:pStyle w:val="Header"/>
        <w:rPr>
          <w:bCs/>
          <w:szCs w:val="24"/>
        </w:rPr>
      </w:pPr>
    </w:p>
    <w:p w:rsidR="00645A76" w:rsidRPr="006A2121" w:rsidRDefault="00645A76" w:rsidP="00645A76">
      <w:pPr>
        <w:pStyle w:val="Header"/>
        <w:rPr>
          <w:bCs/>
          <w:szCs w:val="24"/>
        </w:rPr>
      </w:pPr>
    </w:p>
    <w:p w:rsidR="00645A76" w:rsidRDefault="00645A76" w:rsidP="00645A76">
      <w:pPr>
        <w:pStyle w:val="Header"/>
        <w:rPr>
          <w:bCs/>
          <w:szCs w:val="24"/>
        </w:rPr>
      </w:pPr>
    </w:p>
    <w:p w:rsidR="00645A76" w:rsidRPr="006A2121" w:rsidRDefault="00645A76" w:rsidP="00645A76">
      <w:pPr>
        <w:rPr>
          <w:rFonts w:ascii="Arial" w:hAnsi="Arial" w:cs="Arial"/>
          <w:b/>
          <w:sz w:val="24"/>
          <w:szCs w:val="24"/>
        </w:rPr>
      </w:pPr>
      <w:r>
        <w:rPr>
          <w:bCs/>
          <w:szCs w:val="24"/>
        </w:rPr>
        <w:br w:type="page"/>
      </w:r>
      <w:r w:rsidRPr="006A2121">
        <w:rPr>
          <w:rFonts w:ascii="Arial" w:hAnsi="Arial" w:cs="Arial"/>
          <w:b/>
          <w:sz w:val="24"/>
          <w:szCs w:val="24"/>
        </w:rPr>
        <w:lastRenderedPageBreak/>
        <w:t>PROPOSED INCREASES IN THRESHOLDS FOR 2013/14</w:t>
      </w:r>
      <w:r>
        <w:rPr>
          <w:rFonts w:ascii="Arial" w:hAnsi="Arial" w:cs="Arial"/>
          <w:b/>
          <w:sz w:val="24"/>
          <w:szCs w:val="24"/>
        </w:rPr>
        <w:tab/>
        <w:t xml:space="preserve">       Appendix 3</w:t>
      </w:r>
    </w:p>
    <w:tbl>
      <w:tblPr>
        <w:tblW w:w="8817" w:type="dxa"/>
        <w:tblInd w:w="93" w:type="dxa"/>
        <w:tblLook w:val="00A0" w:firstRow="1" w:lastRow="0" w:firstColumn="1" w:lastColumn="0" w:noHBand="0" w:noVBand="0"/>
      </w:tblPr>
      <w:tblGrid>
        <w:gridCol w:w="1598"/>
        <w:gridCol w:w="1540"/>
        <w:gridCol w:w="1280"/>
        <w:gridCol w:w="1280"/>
        <w:gridCol w:w="1561"/>
        <w:gridCol w:w="1558"/>
      </w:tblGrid>
      <w:tr w:rsidR="00645A76" w:rsidRPr="0034096A" w:rsidTr="00896462">
        <w:trPr>
          <w:trHeight w:val="255"/>
        </w:trPr>
        <w:tc>
          <w:tcPr>
            <w:tcW w:w="1598" w:type="dxa"/>
            <w:tcBorders>
              <w:top w:val="single" w:sz="4" w:space="0" w:color="auto"/>
              <w:left w:val="single" w:sz="4" w:space="0" w:color="auto"/>
              <w:bottom w:val="single" w:sz="4" w:space="0" w:color="auto"/>
              <w:right w:val="nil"/>
            </w:tcBorders>
            <w:noWrap/>
            <w:vAlign w:val="bottom"/>
          </w:tcPr>
          <w:p w:rsidR="00645A76" w:rsidRPr="0034096A" w:rsidRDefault="00645A76" w:rsidP="00896462">
            <w:pPr>
              <w:rPr>
                <w:rFonts w:ascii="Arial" w:hAnsi="Arial" w:cs="Arial"/>
                <w:sz w:val="16"/>
                <w:szCs w:val="16"/>
              </w:rPr>
            </w:pPr>
            <w:r w:rsidRPr="0034096A">
              <w:rPr>
                <w:rFonts w:ascii="Arial" w:hAnsi="Arial" w:cs="Arial"/>
                <w:sz w:val="16"/>
                <w:szCs w:val="16"/>
              </w:rPr>
              <w:t> </w:t>
            </w:r>
          </w:p>
        </w:tc>
        <w:tc>
          <w:tcPr>
            <w:tcW w:w="1540" w:type="dxa"/>
            <w:tcBorders>
              <w:top w:val="single" w:sz="4" w:space="0" w:color="auto"/>
              <w:left w:val="nil"/>
              <w:bottom w:val="single" w:sz="4" w:space="0" w:color="auto"/>
              <w:right w:val="nil"/>
            </w:tcBorders>
            <w:noWrap/>
            <w:vAlign w:val="bottom"/>
          </w:tcPr>
          <w:p w:rsidR="00645A76" w:rsidRPr="0034096A" w:rsidRDefault="00645A76" w:rsidP="00896462">
            <w:pPr>
              <w:rPr>
                <w:rFonts w:ascii="Arial" w:hAnsi="Arial" w:cs="Arial"/>
                <w:sz w:val="16"/>
                <w:szCs w:val="16"/>
              </w:rPr>
            </w:pPr>
            <w:r w:rsidRPr="0034096A">
              <w:rPr>
                <w:rFonts w:ascii="Arial" w:hAnsi="Arial" w:cs="Arial"/>
                <w:sz w:val="16"/>
                <w:szCs w:val="16"/>
              </w:rPr>
              <w:t> </w:t>
            </w:r>
          </w:p>
        </w:tc>
        <w:tc>
          <w:tcPr>
            <w:tcW w:w="2560" w:type="dxa"/>
            <w:gridSpan w:val="2"/>
            <w:tcBorders>
              <w:top w:val="single" w:sz="8" w:space="0" w:color="auto"/>
              <w:left w:val="single" w:sz="8" w:space="0" w:color="auto"/>
              <w:bottom w:val="single" w:sz="4" w:space="0" w:color="auto"/>
              <w:right w:val="single" w:sz="8" w:space="0" w:color="000000"/>
            </w:tcBorders>
            <w:shd w:val="clear" w:color="000000" w:fill="FFFF99"/>
            <w:noWrap/>
            <w:vAlign w:val="bottom"/>
          </w:tcPr>
          <w:p w:rsidR="00645A76" w:rsidRPr="0034096A" w:rsidRDefault="00645A76" w:rsidP="00896462">
            <w:pPr>
              <w:jc w:val="center"/>
              <w:rPr>
                <w:rFonts w:ascii="Arial" w:hAnsi="Arial" w:cs="Arial"/>
                <w:b/>
              </w:rPr>
            </w:pPr>
            <w:r w:rsidRPr="0034096A">
              <w:rPr>
                <w:rFonts w:ascii="Arial" w:hAnsi="Arial" w:cs="Arial"/>
                <w:b/>
              </w:rPr>
              <w:t>Existing Thresholds</w:t>
            </w:r>
          </w:p>
        </w:tc>
        <w:tc>
          <w:tcPr>
            <w:tcW w:w="3119" w:type="dxa"/>
            <w:gridSpan w:val="2"/>
            <w:tcBorders>
              <w:top w:val="single" w:sz="8" w:space="0" w:color="auto"/>
              <w:left w:val="nil"/>
              <w:bottom w:val="single" w:sz="4" w:space="0" w:color="auto"/>
              <w:right w:val="single" w:sz="8" w:space="0" w:color="000000"/>
            </w:tcBorders>
            <w:shd w:val="clear" w:color="000000" w:fill="FFFF99"/>
            <w:noWrap/>
            <w:vAlign w:val="bottom"/>
          </w:tcPr>
          <w:p w:rsidR="00645A76" w:rsidRPr="0034096A" w:rsidRDefault="00645A76" w:rsidP="00896462">
            <w:pPr>
              <w:rPr>
                <w:rFonts w:ascii="Arial" w:hAnsi="Arial" w:cs="Arial"/>
                <w:b/>
              </w:rPr>
            </w:pPr>
            <w:r w:rsidRPr="0034096A">
              <w:rPr>
                <w:rFonts w:ascii="Arial" w:hAnsi="Arial" w:cs="Arial"/>
                <w:b/>
              </w:rPr>
              <w:t>Proposed Thresholds</w:t>
            </w:r>
          </w:p>
        </w:tc>
      </w:tr>
      <w:tr w:rsidR="00645A76" w:rsidRPr="0034096A" w:rsidTr="00896462">
        <w:trPr>
          <w:trHeight w:val="1020"/>
        </w:trPr>
        <w:tc>
          <w:tcPr>
            <w:tcW w:w="1598" w:type="dxa"/>
            <w:tcBorders>
              <w:top w:val="nil"/>
              <w:left w:val="single" w:sz="4" w:space="0" w:color="auto"/>
              <w:bottom w:val="single" w:sz="4" w:space="0" w:color="auto"/>
              <w:right w:val="single" w:sz="4" w:space="0" w:color="auto"/>
            </w:tcBorders>
            <w:vAlign w:val="bottom"/>
          </w:tcPr>
          <w:p w:rsidR="00645A76" w:rsidRPr="0034096A" w:rsidRDefault="00645A76" w:rsidP="00896462">
            <w:pPr>
              <w:rPr>
                <w:rFonts w:ascii="Arial" w:hAnsi="Arial" w:cs="Arial"/>
                <w:b/>
              </w:rPr>
            </w:pPr>
            <w:r w:rsidRPr="0034096A">
              <w:rPr>
                <w:rFonts w:ascii="Arial" w:hAnsi="Arial" w:cs="Arial"/>
                <w:b/>
              </w:rPr>
              <w:t>Indicator ID 12/13</w:t>
            </w:r>
          </w:p>
        </w:tc>
        <w:tc>
          <w:tcPr>
            <w:tcW w:w="1540" w:type="dxa"/>
            <w:tcBorders>
              <w:top w:val="nil"/>
              <w:left w:val="nil"/>
              <w:bottom w:val="single" w:sz="4" w:space="0" w:color="auto"/>
              <w:right w:val="single" w:sz="4" w:space="0" w:color="auto"/>
            </w:tcBorders>
            <w:vAlign w:val="bottom"/>
          </w:tcPr>
          <w:p w:rsidR="00645A76" w:rsidRPr="0034096A" w:rsidRDefault="00645A76" w:rsidP="00896462">
            <w:pPr>
              <w:rPr>
                <w:rFonts w:ascii="Arial" w:hAnsi="Arial" w:cs="Arial"/>
                <w:b/>
              </w:rPr>
            </w:pPr>
            <w:r w:rsidRPr="0034096A">
              <w:rPr>
                <w:rFonts w:ascii="Arial" w:hAnsi="Arial" w:cs="Arial"/>
                <w:b/>
              </w:rPr>
              <w:t>Indicator ID 13/14</w:t>
            </w:r>
          </w:p>
        </w:tc>
        <w:tc>
          <w:tcPr>
            <w:tcW w:w="1280" w:type="dxa"/>
            <w:tcBorders>
              <w:top w:val="nil"/>
              <w:left w:val="nil"/>
              <w:bottom w:val="single" w:sz="4" w:space="0" w:color="auto"/>
              <w:right w:val="single" w:sz="4" w:space="0" w:color="auto"/>
            </w:tcBorders>
            <w:shd w:val="clear" w:color="000000" w:fill="FFFF99"/>
            <w:vAlign w:val="bottom"/>
          </w:tcPr>
          <w:p w:rsidR="00645A76" w:rsidRPr="0034096A" w:rsidRDefault="00645A76" w:rsidP="00896462">
            <w:pPr>
              <w:rPr>
                <w:rFonts w:ascii="Arial" w:hAnsi="Arial" w:cs="Arial"/>
                <w:b/>
              </w:rPr>
            </w:pPr>
            <w:r w:rsidRPr="0034096A">
              <w:rPr>
                <w:rFonts w:ascii="Arial" w:hAnsi="Arial" w:cs="Arial"/>
                <w:b/>
              </w:rPr>
              <w:t>Current Lower Threshold CLT</w:t>
            </w:r>
          </w:p>
        </w:tc>
        <w:tc>
          <w:tcPr>
            <w:tcW w:w="1280" w:type="dxa"/>
            <w:tcBorders>
              <w:top w:val="nil"/>
              <w:left w:val="nil"/>
              <w:bottom w:val="single" w:sz="4" w:space="0" w:color="auto"/>
              <w:right w:val="single" w:sz="8" w:space="0" w:color="auto"/>
            </w:tcBorders>
            <w:shd w:val="clear" w:color="000000" w:fill="FFFF99"/>
            <w:vAlign w:val="bottom"/>
          </w:tcPr>
          <w:p w:rsidR="00645A76" w:rsidRPr="0034096A" w:rsidRDefault="00645A76" w:rsidP="00896462">
            <w:pPr>
              <w:rPr>
                <w:rFonts w:ascii="Arial" w:hAnsi="Arial" w:cs="Arial"/>
                <w:b/>
              </w:rPr>
            </w:pPr>
            <w:r w:rsidRPr="0034096A">
              <w:rPr>
                <w:rFonts w:ascii="Arial" w:hAnsi="Arial" w:cs="Arial"/>
                <w:b/>
              </w:rPr>
              <w:t>Current Upper Threshold CUT</w:t>
            </w:r>
          </w:p>
        </w:tc>
        <w:tc>
          <w:tcPr>
            <w:tcW w:w="1561" w:type="dxa"/>
            <w:tcBorders>
              <w:top w:val="nil"/>
              <w:left w:val="nil"/>
              <w:bottom w:val="single" w:sz="4" w:space="0" w:color="auto"/>
              <w:right w:val="single" w:sz="4" w:space="0" w:color="auto"/>
            </w:tcBorders>
            <w:shd w:val="clear" w:color="000000" w:fill="FFFF99"/>
            <w:vAlign w:val="bottom"/>
          </w:tcPr>
          <w:p w:rsidR="00645A76" w:rsidRPr="0034096A" w:rsidRDefault="00645A76" w:rsidP="00896462">
            <w:pPr>
              <w:rPr>
                <w:rFonts w:ascii="Arial" w:hAnsi="Arial" w:cs="Arial"/>
                <w:b/>
              </w:rPr>
            </w:pPr>
            <w:r w:rsidRPr="0034096A">
              <w:rPr>
                <w:rFonts w:ascii="Arial" w:hAnsi="Arial" w:cs="Arial"/>
                <w:b/>
              </w:rPr>
              <w:t>CLT+20=PLT</w:t>
            </w:r>
          </w:p>
        </w:tc>
        <w:tc>
          <w:tcPr>
            <w:tcW w:w="1558" w:type="dxa"/>
            <w:tcBorders>
              <w:top w:val="nil"/>
              <w:left w:val="nil"/>
              <w:bottom w:val="single" w:sz="4" w:space="0" w:color="auto"/>
              <w:right w:val="single" w:sz="8" w:space="0" w:color="auto"/>
            </w:tcBorders>
            <w:shd w:val="clear" w:color="000000" w:fill="FFFF99"/>
            <w:vAlign w:val="bottom"/>
          </w:tcPr>
          <w:p w:rsidR="00645A76" w:rsidRPr="0034096A" w:rsidRDefault="00645A76" w:rsidP="00896462">
            <w:pPr>
              <w:rPr>
                <w:rFonts w:ascii="Arial" w:hAnsi="Arial" w:cs="Arial"/>
                <w:b/>
              </w:rPr>
            </w:pPr>
            <w:r w:rsidRPr="0034096A">
              <w:rPr>
                <w:rFonts w:ascii="Arial" w:hAnsi="Arial" w:cs="Arial"/>
                <w:b/>
              </w:rPr>
              <w:t>CUT+5=   PUT</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CHD6</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CHD002</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75</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80</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CHD8</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CHD003</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CHD9</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CHD005</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50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CHD12</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CHD004</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50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CHD14</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CHD006</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STROKE10</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STIA006</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85</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90</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STROKE12</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STIA007</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50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BP5</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HYP002</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DM15</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DM006</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DM18</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DM010</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85</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90</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DM26</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DM007</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50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50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55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DM27</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DM008</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DM28</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DM009</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50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DM30</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DM002</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71</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76</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DM31</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DM003</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COPD8</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COPD007</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85</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90</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HF3</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HF004</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CKD3</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CKD002</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45</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75</w:t>
            </w:r>
          </w:p>
        </w:tc>
      </w:tr>
      <w:tr w:rsidR="00645A76" w:rsidRPr="0034096A" w:rsidTr="00896462">
        <w:trPr>
          <w:trHeight w:val="40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AF3*6</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AF003</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50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90</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SMOKING4*6</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SMOK005</w:t>
            </w:r>
          </w:p>
        </w:tc>
        <w:tc>
          <w:tcPr>
            <w:tcW w:w="1280" w:type="dxa"/>
            <w:tcBorders>
              <w:top w:val="nil"/>
              <w:left w:val="nil"/>
              <w:bottom w:val="single" w:sz="8"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50</w:t>
            </w:r>
          </w:p>
        </w:tc>
        <w:tc>
          <w:tcPr>
            <w:tcW w:w="1280" w:type="dxa"/>
            <w:tcBorders>
              <w:top w:val="nil"/>
              <w:left w:val="nil"/>
              <w:bottom w:val="single" w:sz="8"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90</w:t>
            </w:r>
          </w:p>
        </w:tc>
        <w:tc>
          <w:tcPr>
            <w:tcW w:w="1561" w:type="dxa"/>
            <w:tcBorders>
              <w:top w:val="nil"/>
              <w:left w:val="nil"/>
              <w:bottom w:val="single" w:sz="8"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c>
          <w:tcPr>
            <w:tcW w:w="1558" w:type="dxa"/>
            <w:tcBorders>
              <w:top w:val="nil"/>
              <w:left w:val="nil"/>
              <w:bottom w:val="single" w:sz="8"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95</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STROKE6</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STIA003</w:t>
            </w:r>
          </w:p>
        </w:tc>
        <w:tc>
          <w:tcPr>
            <w:tcW w:w="1280" w:type="dxa"/>
            <w:tcBorders>
              <w:top w:val="single" w:sz="4" w:space="0" w:color="auto"/>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40</w:t>
            </w:r>
          </w:p>
        </w:tc>
        <w:tc>
          <w:tcPr>
            <w:tcW w:w="1280" w:type="dxa"/>
            <w:tcBorders>
              <w:top w:val="single" w:sz="4" w:space="0" w:color="auto"/>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75</w:t>
            </w:r>
          </w:p>
        </w:tc>
        <w:tc>
          <w:tcPr>
            <w:tcW w:w="1561" w:type="dxa"/>
            <w:tcBorders>
              <w:top w:val="single" w:sz="4" w:space="0" w:color="auto"/>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60</w:t>
            </w:r>
          </w:p>
        </w:tc>
        <w:tc>
          <w:tcPr>
            <w:tcW w:w="1558" w:type="dxa"/>
            <w:tcBorders>
              <w:top w:val="single" w:sz="4" w:space="0" w:color="auto"/>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80</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STROKE8</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STIA005</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65</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70</w:t>
            </w:r>
          </w:p>
        </w:tc>
      </w:tr>
      <w:tr w:rsidR="00645A76" w:rsidRPr="0034096A" w:rsidTr="00896462">
        <w:trPr>
          <w:trHeight w:val="345"/>
        </w:trPr>
        <w:tc>
          <w:tcPr>
            <w:tcW w:w="1598" w:type="dxa"/>
            <w:tcBorders>
              <w:top w:val="nil"/>
              <w:left w:val="single" w:sz="4" w:space="0" w:color="auto"/>
              <w:bottom w:val="single" w:sz="4" w:space="0" w:color="auto"/>
              <w:right w:val="single" w:sz="4" w:space="0" w:color="auto"/>
            </w:tcBorders>
            <w:noWrap/>
            <w:vAlign w:val="bottom"/>
          </w:tcPr>
          <w:p w:rsidR="00645A76" w:rsidRDefault="00645A76" w:rsidP="00896462">
            <w:pPr>
              <w:rPr>
                <w:rFonts w:ascii="Arial" w:hAnsi="Arial" w:cs="Arial"/>
                <w:bCs/>
              </w:rPr>
            </w:pPr>
          </w:p>
          <w:p w:rsidR="00645A76" w:rsidRPr="0034096A" w:rsidRDefault="00645A76" w:rsidP="00896462">
            <w:pPr>
              <w:rPr>
                <w:rFonts w:ascii="Arial" w:hAnsi="Arial" w:cs="Arial"/>
                <w:bCs/>
              </w:rPr>
            </w:pPr>
            <w:r w:rsidRPr="0034096A">
              <w:rPr>
                <w:rFonts w:ascii="Arial" w:hAnsi="Arial" w:cs="Arial"/>
                <w:bCs/>
              </w:rPr>
              <w:t>DM17</w:t>
            </w:r>
          </w:p>
        </w:tc>
        <w:tc>
          <w:tcPr>
            <w:tcW w:w="1540" w:type="dxa"/>
            <w:tcBorders>
              <w:top w:val="nil"/>
              <w:left w:val="nil"/>
              <w:bottom w:val="single" w:sz="4" w:space="0" w:color="auto"/>
              <w:right w:val="single" w:sz="4" w:space="0" w:color="auto"/>
            </w:tcBorders>
            <w:noWrap/>
            <w:vAlign w:val="bottom"/>
          </w:tcPr>
          <w:p w:rsidR="00645A76" w:rsidRPr="0034096A" w:rsidRDefault="00645A76" w:rsidP="00896462">
            <w:pPr>
              <w:rPr>
                <w:rFonts w:ascii="Arial" w:hAnsi="Arial" w:cs="Arial"/>
                <w:bCs/>
              </w:rPr>
            </w:pPr>
            <w:r w:rsidRPr="0034096A">
              <w:rPr>
                <w:rFonts w:ascii="Arial" w:hAnsi="Arial" w:cs="Arial"/>
                <w:bCs/>
              </w:rPr>
              <w:t>DM004</w:t>
            </w:r>
          </w:p>
        </w:tc>
        <w:tc>
          <w:tcPr>
            <w:tcW w:w="1280"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40</w:t>
            </w:r>
          </w:p>
        </w:tc>
        <w:tc>
          <w:tcPr>
            <w:tcW w:w="1280"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75</w:t>
            </w:r>
          </w:p>
        </w:tc>
        <w:tc>
          <w:tcPr>
            <w:tcW w:w="1561" w:type="dxa"/>
            <w:tcBorders>
              <w:top w:val="nil"/>
              <w:left w:val="nil"/>
              <w:bottom w:val="single" w:sz="4" w:space="0" w:color="auto"/>
              <w:right w:val="single" w:sz="4"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60</w:t>
            </w:r>
          </w:p>
        </w:tc>
        <w:tc>
          <w:tcPr>
            <w:tcW w:w="1558" w:type="dxa"/>
            <w:tcBorders>
              <w:top w:val="nil"/>
              <w:left w:val="nil"/>
              <w:bottom w:val="single" w:sz="4" w:space="0" w:color="auto"/>
              <w:right w:val="single" w:sz="8" w:space="0" w:color="auto"/>
            </w:tcBorders>
            <w:shd w:val="clear" w:color="000000" w:fill="FFFF99"/>
            <w:noWrap/>
            <w:vAlign w:val="bottom"/>
          </w:tcPr>
          <w:p w:rsidR="00645A76" w:rsidRPr="0034096A" w:rsidRDefault="00645A76" w:rsidP="00896462">
            <w:pPr>
              <w:jc w:val="right"/>
              <w:rPr>
                <w:rFonts w:ascii="Arial" w:hAnsi="Arial" w:cs="Arial"/>
              </w:rPr>
            </w:pPr>
            <w:r w:rsidRPr="0034096A">
              <w:rPr>
                <w:rFonts w:ascii="Arial" w:hAnsi="Arial" w:cs="Arial"/>
              </w:rPr>
              <w:t>80</w:t>
            </w:r>
          </w:p>
        </w:tc>
      </w:tr>
    </w:tbl>
    <w:p w:rsidR="00645A76" w:rsidRPr="006A2121" w:rsidRDefault="00645A76" w:rsidP="00645A76">
      <w:pPr>
        <w:jc w:val="right"/>
        <w:rPr>
          <w:rFonts w:ascii="Arial" w:hAnsi="Arial" w:cs="Arial"/>
          <w:b/>
          <w:sz w:val="24"/>
          <w:szCs w:val="24"/>
        </w:rPr>
      </w:pPr>
      <w:r>
        <w:rPr>
          <w:rFonts w:ascii="Arial" w:hAnsi="Arial" w:cs="Arial"/>
          <w:b/>
          <w:sz w:val="24"/>
          <w:szCs w:val="24"/>
        </w:rPr>
        <w:br w:type="page"/>
      </w:r>
      <w:r w:rsidRPr="006A2121">
        <w:rPr>
          <w:rFonts w:ascii="Arial" w:hAnsi="Arial" w:cs="Arial"/>
          <w:b/>
          <w:sz w:val="24"/>
          <w:szCs w:val="24"/>
        </w:rPr>
        <w:t>ANNEX B</w:t>
      </w:r>
    </w:p>
    <w:p w:rsidR="00645A76" w:rsidRDefault="00645A76" w:rsidP="00645A76">
      <w:pPr>
        <w:rPr>
          <w:rFonts w:ascii="Arial" w:hAnsi="Arial" w:cs="Arial"/>
          <w:b/>
          <w:sz w:val="24"/>
          <w:szCs w:val="24"/>
        </w:rPr>
      </w:pPr>
    </w:p>
    <w:p w:rsidR="00645A76" w:rsidRPr="0038569C" w:rsidRDefault="00645A76" w:rsidP="00645A76">
      <w:pPr>
        <w:rPr>
          <w:szCs w:val="24"/>
        </w:rPr>
      </w:pPr>
      <w:r>
        <w:rPr>
          <w:rFonts w:ascii="Arial" w:hAnsi="Arial" w:cs="Arial"/>
          <w:b/>
          <w:color w:val="FF0000"/>
          <w:sz w:val="24"/>
          <w:szCs w:val="24"/>
        </w:rPr>
        <w:t>[To include draft Statement of Financial Entitlement (excluding Annex D)</w:t>
      </w:r>
    </w:p>
    <w:p w:rsidR="00356BB8" w:rsidRPr="00645A76" w:rsidRDefault="00356BB8" w:rsidP="00645A76">
      <w:pPr>
        <w:rPr>
          <w:szCs w:val="24"/>
        </w:rPr>
      </w:pPr>
    </w:p>
    <w:sectPr w:rsidR="00356BB8" w:rsidRPr="00645A76" w:rsidSect="00695672">
      <w:headerReference w:type="default" r:id="rId11"/>
      <w:pgSz w:w="11906" w:h="16838"/>
      <w:pgMar w:top="1440" w:right="1800" w:bottom="1440" w:left="1800" w:header="720" w:footer="720" w:gutter="0"/>
      <w:cols w:space="720" w:equalWidth="0">
        <w:col w:w="8306"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FC" w:rsidRDefault="00F27DFC">
      <w:r>
        <w:separator/>
      </w:r>
    </w:p>
  </w:endnote>
  <w:endnote w:type="continuationSeparator" w:id="0">
    <w:p w:rsidR="00F27DFC" w:rsidRDefault="00F2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FC" w:rsidRDefault="00F27DFC">
      <w:r>
        <w:separator/>
      </w:r>
    </w:p>
  </w:footnote>
  <w:footnote w:type="continuationSeparator" w:id="0">
    <w:p w:rsidR="00F27DFC" w:rsidRDefault="00F27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62" w:rsidRDefault="00896462" w:rsidP="00CE0930">
    <w:pPr>
      <w:pStyle w:val="Header"/>
      <w:jc w:val="center"/>
      <w:rPr>
        <w:b/>
      </w:rPr>
    </w:pPr>
  </w:p>
  <w:p w:rsidR="00896462" w:rsidRPr="00CE0930" w:rsidRDefault="00896462" w:rsidP="00CE0930">
    <w:pPr>
      <w:pStyle w:val="Header"/>
      <w:jc w:val="center"/>
      <w:rPr>
        <w:b/>
      </w:rPr>
    </w:pPr>
    <w:r>
      <w:rPr>
        <w:b/>
      </w:rPr>
      <w:t xml:space="preserve">DRAFT ONLY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BF3"/>
    <w:multiLevelType w:val="hybridMultilevel"/>
    <w:tmpl w:val="F4D6516C"/>
    <w:lvl w:ilvl="0" w:tplc="1BB0A16E">
      <w:start w:val="1"/>
      <w:numFmt w:val="decimal"/>
      <w:lvlText w:val="%1."/>
      <w:lvlJc w:val="left"/>
      <w:pPr>
        <w:tabs>
          <w:tab w:val="num" w:pos="360"/>
        </w:tabs>
        <w:ind w:left="36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E03599"/>
    <w:multiLevelType w:val="hybridMultilevel"/>
    <w:tmpl w:val="63287D20"/>
    <w:lvl w:ilvl="0" w:tplc="0809000F">
      <w:start w:val="1"/>
      <w:numFmt w:val="decimal"/>
      <w:lvlText w:val="%1."/>
      <w:lvlJc w:val="left"/>
      <w:pPr>
        <w:tabs>
          <w:tab w:val="num" w:pos="720"/>
        </w:tabs>
        <w:ind w:left="720" w:hanging="360"/>
      </w:pPr>
      <w:rPr>
        <w:rFonts w:hint="default"/>
      </w:rPr>
    </w:lvl>
    <w:lvl w:ilvl="1" w:tplc="B82A9246">
      <w:start w:val="1"/>
      <w:numFmt w:val="bullet"/>
      <w:lvlText w:val=""/>
      <w:lvlJc w:val="left"/>
      <w:pPr>
        <w:tabs>
          <w:tab w:val="num" w:pos="1420"/>
        </w:tabs>
        <w:ind w:left="1477" w:hanging="397"/>
      </w:pPr>
      <w:rPr>
        <w:rFonts w:ascii="Symbol" w:hAnsi="Symbol" w:hint="default"/>
      </w:r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526FB5"/>
    <w:multiLevelType w:val="hybridMultilevel"/>
    <w:tmpl w:val="F0B4C870"/>
    <w:lvl w:ilvl="0" w:tplc="B82A9246">
      <w:start w:val="1"/>
      <w:numFmt w:val="bullet"/>
      <w:lvlText w:val=""/>
      <w:lvlJc w:val="left"/>
      <w:pPr>
        <w:tabs>
          <w:tab w:val="num" w:pos="907"/>
        </w:tabs>
        <w:ind w:left="964" w:hanging="39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5F78D4"/>
    <w:multiLevelType w:val="hybridMultilevel"/>
    <w:tmpl w:val="7A7E993E"/>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22014ACF"/>
    <w:multiLevelType w:val="hybridMultilevel"/>
    <w:tmpl w:val="C3680B5C"/>
    <w:lvl w:ilvl="0" w:tplc="B82A9246">
      <w:start w:val="1"/>
      <w:numFmt w:val="bullet"/>
      <w:lvlText w:val=""/>
      <w:lvlJc w:val="left"/>
      <w:pPr>
        <w:tabs>
          <w:tab w:val="num" w:pos="907"/>
        </w:tabs>
        <w:ind w:left="964" w:hanging="39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41353D"/>
    <w:multiLevelType w:val="hybridMultilevel"/>
    <w:tmpl w:val="36663390"/>
    <w:lvl w:ilvl="0" w:tplc="1BB0A16E">
      <w:start w:val="1"/>
      <w:numFmt w:val="decimal"/>
      <w:lvlText w:val="%1."/>
      <w:lvlJc w:val="left"/>
      <w:pPr>
        <w:tabs>
          <w:tab w:val="num" w:pos="360"/>
        </w:tabs>
        <w:ind w:left="360" w:hanging="360"/>
      </w:pPr>
      <w:rPr>
        <w:rFonts w:hint="default"/>
        <w:b w:val="0"/>
        <w:bCs w:val="0"/>
      </w:rPr>
    </w:lvl>
    <w:lvl w:ilvl="1" w:tplc="08090001">
      <w:start w:val="1"/>
      <w:numFmt w:val="bullet"/>
      <w:lvlText w:val=""/>
      <w:lvlJc w:val="left"/>
      <w:pPr>
        <w:tabs>
          <w:tab w:val="num" w:pos="1440"/>
        </w:tabs>
        <w:ind w:left="1440" w:hanging="360"/>
      </w:pPr>
      <w:rPr>
        <w:rFonts w:ascii="Symbol" w:hAnsi="Symbol" w:hint="default"/>
        <w:b w:val="0"/>
        <w:bCs w:val="0"/>
      </w:rPr>
    </w:lvl>
    <w:lvl w:ilvl="2" w:tplc="29C0EDD2">
      <w:start w:val="1"/>
      <w:numFmt w:val="lowerRoman"/>
      <w:lvlText w:val="%3."/>
      <w:lvlJc w:val="right"/>
      <w:pPr>
        <w:tabs>
          <w:tab w:val="num" w:pos="2160"/>
        </w:tabs>
        <w:ind w:left="2160" w:hanging="180"/>
      </w:pPr>
      <w:rPr>
        <w:b w:val="0"/>
        <w:bCs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DAC60EC"/>
    <w:multiLevelType w:val="hybridMultilevel"/>
    <w:tmpl w:val="E600517C"/>
    <w:lvl w:ilvl="0" w:tplc="1BB0A16E">
      <w:start w:val="1"/>
      <w:numFmt w:val="decimal"/>
      <w:lvlText w:val="%1."/>
      <w:lvlJc w:val="left"/>
      <w:pPr>
        <w:tabs>
          <w:tab w:val="num" w:pos="360"/>
        </w:tabs>
        <w:ind w:left="360" w:hanging="360"/>
      </w:pPr>
      <w:rPr>
        <w:rFonts w:hint="default"/>
        <w:b w:val="0"/>
        <w:bCs w:val="0"/>
      </w:rPr>
    </w:lvl>
    <w:lvl w:ilvl="1" w:tplc="82406F9A">
      <w:start w:val="1"/>
      <w:numFmt w:val="lowerLetter"/>
      <w:lvlText w:val="%2."/>
      <w:lvlJc w:val="left"/>
      <w:pPr>
        <w:tabs>
          <w:tab w:val="num" w:pos="1440"/>
        </w:tabs>
        <w:ind w:left="1440" w:hanging="360"/>
      </w:pPr>
      <w:rPr>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9413C00"/>
    <w:multiLevelType w:val="hybridMultilevel"/>
    <w:tmpl w:val="D9F06192"/>
    <w:lvl w:ilvl="0" w:tplc="0809000F">
      <w:start w:val="1"/>
      <w:numFmt w:val="decimal"/>
      <w:lvlText w:val="%1."/>
      <w:lvlJc w:val="left"/>
      <w:pPr>
        <w:tabs>
          <w:tab w:val="num" w:pos="1998"/>
        </w:tabs>
        <w:ind w:left="1998" w:hanging="360"/>
      </w:pPr>
    </w:lvl>
    <w:lvl w:ilvl="1" w:tplc="08090019" w:tentative="1">
      <w:start w:val="1"/>
      <w:numFmt w:val="lowerLetter"/>
      <w:lvlText w:val="%2."/>
      <w:lvlJc w:val="left"/>
      <w:pPr>
        <w:tabs>
          <w:tab w:val="num" w:pos="2718"/>
        </w:tabs>
        <w:ind w:left="2718" w:hanging="360"/>
      </w:pPr>
    </w:lvl>
    <w:lvl w:ilvl="2" w:tplc="0809001B" w:tentative="1">
      <w:start w:val="1"/>
      <w:numFmt w:val="lowerRoman"/>
      <w:lvlText w:val="%3."/>
      <w:lvlJc w:val="right"/>
      <w:pPr>
        <w:tabs>
          <w:tab w:val="num" w:pos="3438"/>
        </w:tabs>
        <w:ind w:left="3438" w:hanging="180"/>
      </w:pPr>
    </w:lvl>
    <w:lvl w:ilvl="3" w:tplc="0809000F" w:tentative="1">
      <w:start w:val="1"/>
      <w:numFmt w:val="decimal"/>
      <w:lvlText w:val="%4."/>
      <w:lvlJc w:val="left"/>
      <w:pPr>
        <w:tabs>
          <w:tab w:val="num" w:pos="4158"/>
        </w:tabs>
        <w:ind w:left="4158" w:hanging="360"/>
      </w:pPr>
    </w:lvl>
    <w:lvl w:ilvl="4" w:tplc="08090019" w:tentative="1">
      <w:start w:val="1"/>
      <w:numFmt w:val="lowerLetter"/>
      <w:lvlText w:val="%5."/>
      <w:lvlJc w:val="left"/>
      <w:pPr>
        <w:tabs>
          <w:tab w:val="num" w:pos="4878"/>
        </w:tabs>
        <w:ind w:left="4878" w:hanging="360"/>
      </w:pPr>
    </w:lvl>
    <w:lvl w:ilvl="5" w:tplc="0809001B" w:tentative="1">
      <w:start w:val="1"/>
      <w:numFmt w:val="lowerRoman"/>
      <w:lvlText w:val="%6."/>
      <w:lvlJc w:val="right"/>
      <w:pPr>
        <w:tabs>
          <w:tab w:val="num" w:pos="5598"/>
        </w:tabs>
        <w:ind w:left="5598" w:hanging="180"/>
      </w:pPr>
    </w:lvl>
    <w:lvl w:ilvl="6" w:tplc="0809000F" w:tentative="1">
      <w:start w:val="1"/>
      <w:numFmt w:val="decimal"/>
      <w:lvlText w:val="%7."/>
      <w:lvlJc w:val="left"/>
      <w:pPr>
        <w:tabs>
          <w:tab w:val="num" w:pos="6318"/>
        </w:tabs>
        <w:ind w:left="6318" w:hanging="360"/>
      </w:pPr>
    </w:lvl>
    <w:lvl w:ilvl="7" w:tplc="08090019" w:tentative="1">
      <w:start w:val="1"/>
      <w:numFmt w:val="lowerLetter"/>
      <w:lvlText w:val="%8."/>
      <w:lvlJc w:val="left"/>
      <w:pPr>
        <w:tabs>
          <w:tab w:val="num" w:pos="7038"/>
        </w:tabs>
        <w:ind w:left="7038" w:hanging="360"/>
      </w:pPr>
    </w:lvl>
    <w:lvl w:ilvl="8" w:tplc="0809001B" w:tentative="1">
      <w:start w:val="1"/>
      <w:numFmt w:val="lowerRoman"/>
      <w:lvlText w:val="%9."/>
      <w:lvlJc w:val="right"/>
      <w:pPr>
        <w:tabs>
          <w:tab w:val="num" w:pos="7758"/>
        </w:tabs>
        <w:ind w:left="7758" w:hanging="180"/>
      </w:pPr>
    </w:lvl>
  </w:abstractNum>
  <w:abstractNum w:abstractNumId="8">
    <w:nsid w:val="4BE301D8"/>
    <w:multiLevelType w:val="hybridMultilevel"/>
    <w:tmpl w:val="24787C50"/>
    <w:lvl w:ilvl="0" w:tplc="4E045644">
      <w:start w:val="1"/>
      <w:numFmt w:val="lowerLetter"/>
      <w:lvlText w:val="(%1)"/>
      <w:lvlJc w:val="left"/>
      <w:pPr>
        <w:tabs>
          <w:tab w:val="num" w:pos="735"/>
        </w:tabs>
        <w:ind w:left="735" w:hanging="375"/>
      </w:pPr>
      <w:rPr>
        <w:rFonts w:hint="default"/>
      </w:rPr>
    </w:lvl>
    <w:lvl w:ilvl="1" w:tplc="BE9E3014">
      <w:start w:val="37"/>
      <w:numFmt w:val="decimal"/>
      <w:lvlText w:val="%2."/>
      <w:lvlJc w:val="left"/>
      <w:pPr>
        <w:tabs>
          <w:tab w:val="num" w:pos="1440"/>
        </w:tabs>
        <w:ind w:left="1440" w:hanging="360"/>
      </w:pPr>
      <w:rPr>
        <w:rFonts w:hint="default"/>
      </w:rPr>
    </w:lvl>
    <w:lvl w:ilvl="2" w:tplc="BBA06CD8">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D1A1CD8"/>
    <w:multiLevelType w:val="hybridMultilevel"/>
    <w:tmpl w:val="7416F970"/>
    <w:lvl w:ilvl="0" w:tplc="B82A9246">
      <w:start w:val="1"/>
      <w:numFmt w:val="bullet"/>
      <w:lvlText w:val=""/>
      <w:lvlJc w:val="left"/>
      <w:pPr>
        <w:tabs>
          <w:tab w:val="num" w:pos="1474"/>
        </w:tabs>
        <w:ind w:left="1531" w:hanging="397"/>
      </w:pPr>
      <w:rPr>
        <w:rFonts w:ascii="Symbol" w:hAnsi="Symbol" w:hint="default"/>
      </w:rPr>
    </w:lvl>
    <w:lvl w:ilvl="1" w:tplc="0809000F">
      <w:start w:val="1"/>
      <w:numFmt w:val="decimal"/>
      <w:lvlText w:val="%2."/>
      <w:lvlJc w:val="left"/>
      <w:pPr>
        <w:tabs>
          <w:tab w:val="num" w:pos="2007"/>
        </w:tabs>
        <w:ind w:left="2007" w:hanging="360"/>
      </w:pPr>
      <w:rPr>
        <w:rFont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nsid w:val="53940A01"/>
    <w:multiLevelType w:val="hybridMultilevel"/>
    <w:tmpl w:val="8EC21A5E"/>
    <w:lvl w:ilvl="0" w:tplc="B82A9246">
      <w:start w:val="1"/>
      <w:numFmt w:val="bullet"/>
      <w:lvlText w:val=""/>
      <w:lvlJc w:val="left"/>
      <w:pPr>
        <w:tabs>
          <w:tab w:val="num" w:pos="907"/>
        </w:tabs>
        <w:ind w:left="964" w:hanging="397"/>
      </w:pPr>
      <w:rPr>
        <w:rFonts w:ascii="Symbol" w:hAnsi="Symbol" w:hint="default"/>
      </w:rPr>
    </w:lvl>
    <w:lvl w:ilvl="1" w:tplc="8AAED724">
      <w:start w:val="3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292E4F"/>
    <w:multiLevelType w:val="hybridMultilevel"/>
    <w:tmpl w:val="795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445EA4"/>
    <w:multiLevelType w:val="hybridMultilevel"/>
    <w:tmpl w:val="2D660400"/>
    <w:lvl w:ilvl="0" w:tplc="1BB0A16E">
      <w:start w:val="1"/>
      <w:numFmt w:val="decimal"/>
      <w:lvlText w:val="%1."/>
      <w:lvlJc w:val="left"/>
      <w:pPr>
        <w:tabs>
          <w:tab w:val="num" w:pos="360"/>
        </w:tabs>
        <w:ind w:left="360" w:hanging="360"/>
      </w:pPr>
      <w:rPr>
        <w:rFonts w:hint="default"/>
        <w:b w:val="0"/>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FC09C7"/>
    <w:multiLevelType w:val="hybridMultilevel"/>
    <w:tmpl w:val="955C8E96"/>
    <w:lvl w:ilvl="0" w:tplc="A3C2DB40">
      <w:start w:val="1"/>
      <w:numFmt w:val="bullet"/>
      <w:pStyle w:val="Bullet"/>
      <w:lvlText w:val=""/>
      <w:lvlJc w:val="left"/>
      <w:pPr>
        <w:tabs>
          <w:tab w:val="num" w:pos="1008"/>
        </w:tabs>
        <w:ind w:left="1008" w:hanging="432"/>
      </w:pPr>
      <w:rPr>
        <w:rFonts w:ascii="Symbol" w:hAnsi="Symbol" w:cs="Symbol" w:hint="default"/>
        <w:b w:val="0"/>
        <w:i w:val="0"/>
        <w:color w:val="auto"/>
        <w:sz w:val="24"/>
        <w:szCs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EE12D90"/>
    <w:multiLevelType w:val="hybridMultilevel"/>
    <w:tmpl w:val="5526EF68"/>
    <w:lvl w:ilvl="0" w:tplc="0226BC34">
      <w:start w:val="1"/>
      <w:numFmt w:val="decimal"/>
      <w:pStyle w:val="Para"/>
      <w:lvlText w:val="%1."/>
      <w:lvlJc w:val="left"/>
      <w:pPr>
        <w:tabs>
          <w:tab w:val="num" w:pos="576"/>
        </w:tabs>
        <w:ind w:left="576" w:hanging="576"/>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3B72F92"/>
    <w:multiLevelType w:val="hybridMultilevel"/>
    <w:tmpl w:val="5C82823E"/>
    <w:lvl w:ilvl="0" w:tplc="B82A9246">
      <w:start w:val="1"/>
      <w:numFmt w:val="bullet"/>
      <w:lvlText w:val=""/>
      <w:lvlJc w:val="left"/>
      <w:pPr>
        <w:tabs>
          <w:tab w:val="num" w:pos="907"/>
        </w:tabs>
        <w:ind w:left="96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1D2F85"/>
    <w:multiLevelType w:val="hybridMultilevel"/>
    <w:tmpl w:val="E7F65E2C"/>
    <w:lvl w:ilvl="0" w:tplc="1BB0A16E">
      <w:start w:val="1"/>
      <w:numFmt w:val="decimal"/>
      <w:lvlText w:val="%1."/>
      <w:lvlJc w:val="left"/>
      <w:pPr>
        <w:tabs>
          <w:tab w:val="num" w:pos="360"/>
        </w:tabs>
        <w:ind w:left="360" w:hanging="360"/>
      </w:pPr>
      <w:rPr>
        <w:rFonts w:hint="default"/>
        <w:b w:val="0"/>
        <w:bCs w:val="0"/>
      </w:rPr>
    </w:lvl>
    <w:lvl w:ilvl="1" w:tplc="D850ED2E">
      <w:start w:val="1"/>
      <w:numFmt w:val="lowerLetter"/>
      <w:lvlText w:val="%2."/>
      <w:lvlJc w:val="left"/>
      <w:pPr>
        <w:tabs>
          <w:tab w:val="num" w:pos="1440"/>
        </w:tabs>
        <w:ind w:left="1440" w:hanging="360"/>
      </w:pPr>
      <w:rPr>
        <w:b w:val="0"/>
        <w:bCs w:val="0"/>
      </w:rPr>
    </w:lvl>
    <w:lvl w:ilvl="2" w:tplc="29C0EDD2">
      <w:start w:val="1"/>
      <w:numFmt w:val="lowerRoman"/>
      <w:lvlText w:val="%3."/>
      <w:lvlJc w:val="right"/>
      <w:pPr>
        <w:tabs>
          <w:tab w:val="num" w:pos="2160"/>
        </w:tabs>
        <w:ind w:left="2160" w:hanging="180"/>
      </w:pPr>
      <w:rPr>
        <w:b w:val="0"/>
        <w:bCs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4"/>
  </w:num>
  <w:num w:numId="4">
    <w:abstractNumId w:val="10"/>
  </w:num>
  <w:num w:numId="5">
    <w:abstractNumId w:val="15"/>
  </w:num>
  <w:num w:numId="6">
    <w:abstractNumId w:val="1"/>
  </w:num>
  <w:num w:numId="7">
    <w:abstractNumId w:val="2"/>
  </w:num>
  <w:num w:numId="8">
    <w:abstractNumId w:val="7"/>
  </w:num>
  <w:num w:numId="9">
    <w:abstractNumId w:val="13"/>
  </w:num>
  <w:num w:numId="10">
    <w:abstractNumId w:val="8"/>
  </w:num>
  <w:num w:numId="11">
    <w:abstractNumId w:val="16"/>
  </w:num>
  <w:num w:numId="12">
    <w:abstractNumId w:val="12"/>
  </w:num>
  <w:num w:numId="13">
    <w:abstractNumId w:val="6"/>
  </w:num>
  <w:num w:numId="14">
    <w:abstractNumId w:val="0"/>
  </w:num>
  <w:num w:numId="15">
    <w:abstractNumId w:val="3"/>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F0"/>
    <w:rsid w:val="00005D7C"/>
    <w:rsid w:val="000075CE"/>
    <w:rsid w:val="00007C6E"/>
    <w:rsid w:val="000266EB"/>
    <w:rsid w:val="000327AF"/>
    <w:rsid w:val="00045D15"/>
    <w:rsid w:val="00063497"/>
    <w:rsid w:val="000711AC"/>
    <w:rsid w:val="0007250F"/>
    <w:rsid w:val="00091DD3"/>
    <w:rsid w:val="000A2C13"/>
    <w:rsid w:val="000F3C7D"/>
    <w:rsid w:val="00115748"/>
    <w:rsid w:val="00134357"/>
    <w:rsid w:val="00140280"/>
    <w:rsid w:val="00147961"/>
    <w:rsid w:val="00152E02"/>
    <w:rsid w:val="00174222"/>
    <w:rsid w:val="00181810"/>
    <w:rsid w:val="001913D8"/>
    <w:rsid w:val="001A2E80"/>
    <w:rsid w:val="001A5EC6"/>
    <w:rsid w:val="001A61C3"/>
    <w:rsid w:val="001B4079"/>
    <w:rsid w:val="001D0754"/>
    <w:rsid w:val="001F30F4"/>
    <w:rsid w:val="001F4A56"/>
    <w:rsid w:val="00201E44"/>
    <w:rsid w:val="00212392"/>
    <w:rsid w:val="00214098"/>
    <w:rsid w:val="002504B2"/>
    <w:rsid w:val="0028164F"/>
    <w:rsid w:val="002866EA"/>
    <w:rsid w:val="00296B23"/>
    <w:rsid w:val="002A29DD"/>
    <w:rsid w:val="002A3484"/>
    <w:rsid w:val="002C5554"/>
    <w:rsid w:val="002D0D5F"/>
    <w:rsid w:val="002E2E23"/>
    <w:rsid w:val="002F7975"/>
    <w:rsid w:val="00323C56"/>
    <w:rsid w:val="0034096A"/>
    <w:rsid w:val="00345A4F"/>
    <w:rsid w:val="0035097A"/>
    <w:rsid w:val="00356BB8"/>
    <w:rsid w:val="00380D7A"/>
    <w:rsid w:val="003B2071"/>
    <w:rsid w:val="003D46A9"/>
    <w:rsid w:val="003E34CD"/>
    <w:rsid w:val="003F0307"/>
    <w:rsid w:val="00420357"/>
    <w:rsid w:val="00436FF4"/>
    <w:rsid w:val="00441D45"/>
    <w:rsid w:val="00443A07"/>
    <w:rsid w:val="00451682"/>
    <w:rsid w:val="0045242A"/>
    <w:rsid w:val="0046416E"/>
    <w:rsid w:val="004647FF"/>
    <w:rsid w:val="004815DA"/>
    <w:rsid w:val="00484FC5"/>
    <w:rsid w:val="00494A8E"/>
    <w:rsid w:val="004B5641"/>
    <w:rsid w:val="004C46BC"/>
    <w:rsid w:val="004C5ED8"/>
    <w:rsid w:val="00531877"/>
    <w:rsid w:val="00533C3D"/>
    <w:rsid w:val="00552267"/>
    <w:rsid w:val="00573934"/>
    <w:rsid w:val="005E63C7"/>
    <w:rsid w:val="005E6DAB"/>
    <w:rsid w:val="0060341A"/>
    <w:rsid w:val="00604034"/>
    <w:rsid w:val="00606F16"/>
    <w:rsid w:val="00612408"/>
    <w:rsid w:val="006152C6"/>
    <w:rsid w:val="00616E80"/>
    <w:rsid w:val="006379FF"/>
    <w:rsid w:val="00644608"/>
    <w:rsid w:val="00645A76"/>
    <w:rsid w:val="00654BAC"/>
    <w:rsid w:val="00675DE3"/>
    <w:rsid w:val="006948C7"/>
    <w:rsid w:val="00695672"/>
    <w:rsid w:val="006A00E2"/>
    <w:rsid w:val="006A2121"/>
    <w:rsid w:val="006A7EFC"/>
    <w:rsid w:val="006B118D"/>
    <w:rsid w:val="006C0727"/>
    <w:rsid w:val="006E0C49"/>
    <w:rsid w:val="006E0D7B"/>
    <w:rsid w:val="006E51F0"/>
    <w:rsid w:val="006E56F4"/>
    <w:rsid w:val="006F7413"/>
    <w:rsid w:val="00700D2B"/>
    <w:rsid w:val="0070129B"/>
    <w:rsid w:val="00726387"/>
    <w:rsid w:val="00741074"/>
    <w:rsid w:val="007413EF"/>
    <w:rsid w:val="00741C6A"/>
    <w:rsid w:val="0074379C"/>
    <w:rsid w:val="0076075D"/>
    <w:rsid w:val="00763218"/>
    <w:rsid w:val="00774CB6"/>
    <w:rsid w:val="0077631E"/>
    <w:rsid w:val="007772D0"/>
    <w:rsid w:val="007C6151"/>
    <w:rsid w:val="007E48A0"/>
    <w:rsid w:val="008008E7"/>
    <w:rsid w:val="0083109C"/>
    <w:rsid w:val="00840A23"/>
    <w:rsid w:val="008457BA"/>
    <w:rsid w:val="00855456"/>
    <w:rsid w:val="00877680"/>
    <w:rsid w:val="00896462"/>
    <w:rsid w:val="008A3E51"/>
    <w:rsid w:val="008D0988"/>
    <w:rsid w:val="00904700"/>
    <w:rsid w:val="009276BA"/>
    <w:rsid w:val="00941892"/>
    <w:rsid w:val="009432B1"/>
    <w:rsid w:val="009479FE"/>
    <w:rsid w:val="00952BFF"/>
    <w:rsid w:val="00965DA4"/>
    <w:rsid w:val="00976C21"/>
    <w:rsid w:val="00994BFE"/>
    <w:rsid w:val="009A604A"/>
    <w:rsid w:val="009A6F17"/>
    <w:rsid w:val="00A04AD5"/>
    <w:rsid w:val="00A1057C"/>
    <w:rsid w:val="00A15583"/>
    <w:rsid w:val="00A57F42"/>
    <w:rsid w:val="00A77F11"/>
    <w:rsid w:val="00A804EF"/>
    <w:rsid w:val="00AA67A6"/>
    <w:rsid w:val="00AB0133"/>
    <w:rsid w:val="00AC2937"/>
    <w:rsid w:val="00AC64A6"/>
    <w:rsid w:val="00AE0FCF"/>
    <w:rsid w:val="00AF2FB9"/>
    <w:rsid w:val="00AF3C19"/>
    <w:rsid w:val="00AF5D3F"/>
    <w:rsid w:val="00B125D1"/>
    <w:rsid w:val="00B24A08"/>
    <w:rsid w:val="00B47030"/>
    <w:rsid w:val="00B54D2E"/>
    <w:rsid w:val="00B7695C"/>
    <w:rsid w:val="00B96F31"/>
    <w:rsid w:val="00BA6C27"/>
    <w:rsid w:val="00BB7656"/>
    <w:rsid w:val="00BC153E"/>
    <w:rsid w:val="00BC39DF"/>
    <w:rsid w:val="00BC7179"/>
    <w:rsid w:val="00C52C6B"/>
    <w:rsid w:val="00C74DFA"/>
    <w:rsid w:val="00C76E1D"/>
    <w:rsid w:val="00C802AE"/>
    <w:rsid w:val="00C90578"/>
    <w:rsid w:val="00C90D52"/>
    <w:rsid w:val="00CE0930"/>
    <w:rsid w:val="00CF06AA"/>
    <w:rsid w:val="00CF1FCE"/>
    <w:rsid w:val="00CF7512"/>
    <w:rsid w:val="00D101DF"/>
    <w:rsid w:val="00D238EB"/>
    <w:rsid w:val="00D24031"/>
    <w:rsid w:val="00D24CBE"/>
    <w:rsid w:val="00D30BC8"/>
    <w:rsid w:val="00D42535"/>
    <w:rsid w:val="00D506F4"/>
    <w:rsid w:val="00D551FF"/>
    <w:rsid w:val="00D570F9"/>
    <w:rsid w:val="00DA39BA"/>
    <w:rsid w:val="00DE54EC"/>
    <w:rsid w:val="00DF1F05"/>
    <w:rsid w:val="00DF725B"/>
    <w:rsid w:val="00E016EC"/>
    <w:rsid w:val="00E04FE9"/>
    <w:rsid w:val="00E0519B"/>
    <w:rsid w:val="00E14EC2"/>
    <w:rsid w:val="00E15B41"/>
    <w:rsid w:val="00E25519"/>
    <w:rsid w:val="00E30801"/>
    <w:rsid w:val="00E4705A"/>
    <w:rsid w:val="00E53AB7"/>
    <w:rsid w:val="00E60B3B"/>
    <w:rsid w:val="00E74508"/>
    <w:rsid w:val="00E966CF"/>
    <w:rsid w:val="00F039CF"/>
    <w:rsid w:val="00F13631"/>
    <w:rsid w:val="00F23F2D"/>
    <w:rsid w:val="00F27DFC"/>
    <w:rsid w:val="00F3494D"/>
    <w:rsid w:val="00F379F2"/>
    <w:rsid w:val="00F40CC5"/>
    <w:rsid w:val="00F548AA"/>
    <w:rsid w:val="00F71E3E"/>
    <w:rsid w:val="00F7282F"/>
    <w:rsid w:val="00F76E2D"/>
    <w:rsid w:val="00F76EE8"/>
    <w:rsid w:val="00F85DA1"/>
    <w:rsid w:val="00FA5E09"/>
    <w:rsid w:val="00FD39F0"/>
    <w:rsid w:val="00FE43E2"/>
    <w:rsid w:val="00FF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72"/>
  </w:style>
  <w:style w:type="paragraph" w:styleId="Heading1">
    <w:name w:val="heading 1"/>
    <w:basedOn w:val="Normal"/>
    <w:next w:val="Normal"/>
    <w:link w:val="Heading1Char"/>
    <w:uiPriority w:val="99"/>
    <w:qFormat/>
    <w:rsid w:val="00695672"/>
    <w:pPr>
      <w:keepNext/>
      <w:outlineLvl w:val="0"/>
    </w:pPr>
    <w:rPr>
      <w:rFonts w:ascii="Univers" w:hAnsi="Univers"/>
      <w:b/>
      <w:color w:val="000000"/>
      <w:sz w:val="22"/>
    </w:rPr>
  </w:style>
  <w:style w:type="paragraph" w:styleId="Heading2">
    <w:name w:val="heading 2"/>
    <w:basedOn w:val="Normal"/>
    <w:next w:val="Normal"/>
    <w:link w:val="Heading2Char"/>
    <w:qFormat/>
    <w:rsid w:val="008776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5672"/>
    <w:pPr>
      <w:keepNext/>
      <w:spacing w:before="240" w:after="60"/>
      <w:outlineLvl w:val="2"/>
    </w:pPr>
    <w:rPr>
      <w:rFonts w:ascii="CG Times" w:hAnsi="CG Times"/>
      <w:b/>
      <w:noProof/>
      <w:sz w:val="24"/>
    </w:rPr>
  </w:style>
  <w:style w:type="paragraph" w:styleId="Heading9">
    <w:name w:val="heading 9"/>
    <w:basedOn w:val="Normal"/>
    <w:next w:val="Normal"/>
    <w:link w:val="Heading9Char"/>
    <w:qFormat/>
    <w:rsid w:val="00695672"/>
    <w:pPr>
      <w:keepNext/>
      <w:outlineLvl w:val="8"/>
    </w:pPr>
    <w:rPr>
      <w:rFonts w:ascii="CG Times" w:hAnsi="CG Times"/>
      <w:b/>
      <w:i/>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5672"/>
    <w:pPr>
      <w:tabs>
        <w:tab w:val="center" w:pos="4320"/>
        <w:tab w:val="right" w:pos="8640"/>
      </w:tabs>
    </w:pPr>
    <w:rPr>
      <w:rFonts w:ascii="Arial" w:hAnsi="Arial"/>
      <w:noProof/>
      <w:sz w:val="24"/>
    </w:rPr>
  </w:style>
  <w:style w:type="paragraph" w:styleId="BodyText2">
    <w:name w:val="Body Text 2"/>
    <w:basedOn w:val="Normal"/>
    <w:link w:val="BodyText2Char"/>
    <w:rsid w:val="00695672"/>
    <w:pPr>
      <w:jc w:val="both"/>
    </w:pPr>
    <w:rPr>
      <w:rFonts w:ascii="Arial" w:hAnsi="Arial"/>
      <w:b/>
      <w:noProof/>
      <w:sz w:val="24"/>
      <w:u w:val="single"/>
    </w:rPr>
  </w:style>
  <w:style w:type="character" w:styleId="Hyperlink">
    <w:name w:val="Hyperlink"/>
    <w:basedOn w:val="DefaultParagraphFont"/>
    <w:rsid w:val="00695672"/>
    <w:rPr>
      <w:color w:val="0000FF"/>
      <w:u w:val="single"/>
    </w:rPr>
  </w:style>
  <w:style w:type="paragraph" w:styleId="BodyTextIndent">
    <w:name w:val="Body Text Indent"/>
    <w:basedOn w:val="Normal"/>
    <w:link w:val="BodyTextIndentChar"/>
    <w:uiPriority w:val="99"/>
    <w:rsid w:val="00695672"/>
    <w:pPr>
      <w:spacing w:after="120"/>
      <w:ind w:left="283"/>
    </w:pPr>
  </w:style>
  <w:style w:type="paragraph" w:styleId="BodyText">
    <w:name w:val="Body Text"/>
    <w:basedOn w:val="Normal"/>
    <w:link w:val="BodyTextChar"/>
    <w:rsid w:val="00695672"/>
    <w:rPr>
      <w:rFonts w:ascii="Arial" w:hAnsi="Arial"/>
      <w:sz w:val="24"/>
    </w:rPr>
  </w:style>
  <w:style w:type="paragraph" w:styleId="BalloonText">
    <w:name w:val="Balloon Text"/>
    <w:basedOn w:val="Normal"/>
    <w:link w:val="BalloonTextChar"/>
    <w:semiHidden/>
    <w:rsid w:val="00FD39F0"/>
    <w:rPr>
      <w:rFonts w:ascii="Tahoma" w:hAnsi="Tahoma" w:cs="Tahoma"/>
      <w:sz w:val="16"/>
      <w:szCs w:val="16"/>
    </w:rPr>
  </w:style>
  <w:style w:type="table" w:styleId="TableGrid">
    <w:name w:val="Table Grid"/>
    <w:basedOn w:val="TableNormal"/>
    <w:rsid w:val="00FA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77680"/>
    <w:rPr>
      <w:sz w:val="16"/>
      <w:szCs w:val="16"/>
    </w:rPr>
  </w:style>
  <w:style w:type="paragraph" w:styleId="CommentText">
    <w:name w:val="annotation text"/>
    <w:basedOn w:val="Normal"/>
    <w:link w:val="CommentTextChar"/>
    <w:semiHidden/>
    <w:rsid w:val="00877680"/>
  </w:style>
  <w:style w:type="paragraph" w:customStyle="1" w:styleId="Heading">
    <w:name w:val="Heading"/>
    <w:basedOn w:val="Normal"/>
    <w:next w:val="Normal"/>
    <w:rsid w:val="00380D7A"/>
    <w:pPr>
      <w:spacing w:line="240" w:lineRule="exact"/>
    </w:pPr>
    <w:rPr>
      <w:rFonts w:ascii="Frutiger 45 Light" w:hAnsi="Frutiger 45 Light"/>
      <w:b/>
      <w:sz w:val="22"/>
    </w:rPr>
  </w:style>
  <w:style w:type="paragraph" w:customStyle="1" w:styleId="Para">
    <w:name w:val="Para"/>
    <w:basedOn w:val="Normal"/>
    <w:rsid w:val="00D24031"/>
    <w:pPr>
      <w:numPr>
        <w:numId w:val="1"/>
      </w:numPr>
    </w:pPr>
    <w:rPr>
      <w:rFonts w:ascii="Arial" w:hAnsi="Arial" w:cs="Arial"/>
      <w:sz w:val="24"/>
      <w:szCs w:val="24"/>
    </w:rPr>
  </w:style>
  <w:style w:type="paragraph" w:customStyle="1" w:styleId="Char3CharChar">
    <w:name w:val="Char3 Char Char"/>
    <w:basedOn w:val="Normal"/>
    <w:rsid w:val="009479FE"/>
    <w:pPr>
      <w:spacing w:after="160" w:line="240" w:lineRule="exact"/>
    </w:pPr>
    <w:rPr>
      <w:rFonts w:ascii="Verdana" w:hAnsi="Verdana"/>
      <w:lang w:val="en-US" w:eastAsia="en-US"/>
    </w:rPr>
  </w:style>
  <w:style w:type="paragraph" w:styleId="Footer">
    <w:name w:val="footer"/>
    <w:basedOn w:val="Normal"/>
    <w:link w:val="FooterChar"/>
    <w:rsid w:val="00CE0930"/>
    <w:pPr>
      <w:tabs>
        <w:tab w:val="center" w:pos="4153"/>
        <w:tab w:val="right" w:pos="8306"/>
      </w:tabs>
    </w:pPr>
  </w:style>
  <w:style w:type="paragraph" w:styleId="FootnoteText">
    <w:name w:val="footnote text"/>
    <w:basedOn w:val="Normal"/>
    <w:link w:val="FootnoteTextChar"/>
    <w:semiHidden/>
    <w:rsid w:val="00F76E2D"/>
  </w:style>
  <w:style w:type="character" w:styleId="FootnoteReference">
    <w:name w:val="footnote reference"/>
    <w:basedOn w:val="DefaultParagraphFont"/>
    <w:semiHidden/>
    <w:rsid w:val="00F76E2D"/>
    <w:rPr>
      <w:vertAlign w:val="superscript"/>
    </w:rPr>
  </w:style>
  <w:style w:type="paragraph" w:customStyle="1" w:styleId="Bullet">
    <w:name w:val="Bullet"/>
    <w:basedOn w:val="Normal"/>
    <w:rsid w:val="00AC64A6"/>
    <w:pPr>
      <w:numPr>
        <w:numId w:val="9"/>
      </w:numPr>
      <w:spacing w:before="120"/>
    </w:pPr>
    <w:rPr>
      <w:sz w:val="24"/>
      <w:szCs w:val="24"/>
    </w:rPr>
  </w:style>
  <w:style w:type="paragraph" w:customStyle="1" w:styleId="CharChar2">
    <w:name w:val="Char Char2"/>
    <w:basedOn w:val="Normal"/>
    <w:rsid w:val="00AC64A6"/>
    <w:pPr>
      <w:spacing w:after="120" w:line="240" w:lineRule="exact"/>
    </w:pPr>
    <w:rPr>
      <w:rFonts w:ascii="Verdana" w:hAnsi="Verdana"/>
      <w:lang w:val="en-US" w:eastAsia="en-US"/>
    </w:rPr>
  </w:style>
  <w:style w:type="paragraph" w:customStyle="1" w:styleId="CharChar">
    <w:name w:val="Char Char"/>
    <w:basedOn w:val="Normal"/>
    <w:rsid w:val="00BB7656"/>
    <w:pPr>
      <w:spacing w:after="160" w:line="240" w:lineRule="exact"/>
    </w:pPr>
    <w:rPr>
      <w:rFonts w:ascii="Verdana" w:hAnsi="Verdana"/>
      <w:lang w:val="en-US" w:eastAsia="en-US"/>
    </w:rPr>
  </w:style>
  <w:style w:type="character" w:customStyle="1" w:styleId="HeaderChar">
    <w:name w:val="Header Char"/>
    <w:basedOn w:val="DefaultParagraphFont"/>
    <w:link w:val="Header"/>
    <w:uiPriority w:val="99"/>
    <w:rsid w:val="0045242A"/>
    <w:rPr>
      <w:rFonts w:ascii="Arial" w:hAnsi="Arial"/>
      <w:noProof/>
      <w:sz w:val="24"/>
      <w:lang w:val="en-GB" w:eastAsia="en-GB" w:bidi="ar-SA"/>
    </w:rPr>
  </w:style>
  <w:style w:type="paragraph" w:styleId="ListParagraph">
    <w:name w:val="List Paragraph"/>
    <w:basedOn w:val="Normal"/>
    <w:uiPriority w:val="99"/>
    <w:qFormat/>
    <w:rsid w:val="0045242A"/>
    <w:pPr>
      <w:ind w:left="720"/>
      <w:contextualSpacing/>
    </w:pPr>
    <w:rPr>
      <w:rFonts w:eastAsia="Calibri"/>
    </w:rPr>
  </w:style>
  <w:style w:type="paragraph" w:styleId="CommentSubject">
    <w:name w:val="annotation subject"/>
    <w:basedOn w:val="CommentText"/>
    <w:next w:val="CommentText"/>
    <w:link w:val="CommentSubjectChar"/>
    <w:semiHidden/>
    <w:rsid w:val="00AC2937"/>
    <w:rPr>
      <w:b/>
      <w:bCs/>
    </w:rPr>
  </w:style>
  <w:style w:type="paragraph" w:customStyle="1" w:styleId="Default">
    <w:name w:val="Default"/>
    <w:rsid w:val="009A6F1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9"/>
    <w:rsid w:val="00AF5D3F"/>
    <w:rPr>
      <w:rFonts w:ascii="Univers" w:hAnsi="Univers"/>
      <w:b/>
      <w:color w:val="000000"/>
      <w:sz w:val="22"/>
    </w:rPr>
  </w:style>
  <w:style w:type="character" w:customStyle="1" w:styleId="BodyTextIndentChar">
    <w:name w:val="Body Text Indent Char"/>
    <w:basedOn w:val="DefaultParagraphFont"/>
    <w:link w:val="BodyTextIndent"/>
    <w:uiPriority w:val="99"/>
    <w:rsid w:val="00AF5D3F"/>
  </w:style>
  <w:style w:type="character" w:customStyle="1" w:styleId="Heading2Char">
    <w:name w:val="Heading 2 Char"/>
    <w:basedOn w:val="DefaultParagraphFont"/>
    <w:link w:val="Heading2"/>
    <w:rsid w:val="00645A76"/>
    <w:rPr>
      <w:rFonts w:ascii="Arial" w:hAnsi="Arial" w:cs="Arial"/>
      <w:b/>
      <w:bCs/>
      <w:i/>
      <w:iCs/>
      <w:sz w:val="28"/>
      <w:szCs w:val="28"/>
    </w:rPr>
  </w:style>
  <w:style w:type="character" w:customStyle="1" w:styleId="Heading3Char">
    <w:name w:val="Heading 3 Char"/>
    <w:basedOn w:val="DefaultParagraphFont"/>
    <w:link w:val="Heading3"/>
    <w:rsid w:val="00645A76"/>
    <w:rPr>
      <w:rFonts w:ascii="CG Times" w:hAnsi="CG Times"/>
      <w:b/>
      <w:noProof/>
      <w:sz w:val="24"/>
    </w:rPr>
  </w:style>
  <w:style w:type="character" w:customStyle="1" w:styleId="Heading9Char">
    <w:name w:val="Heading 9 Char"/>
    <w:basedOn w:val="DefaultParagraphFont"/>
    <w:link w:val="Heading9"/>
    <w:rsid w:val="00645A76"/>
    <w:rPr>
      <w:rFonts w:ascii="CG Times" w:hAnsi="CG Times"/>
      <w:b/>
      <w:i/>
      <w:noProof/>
      <w:sz w:val="24"/>
    </w:rPr>
  </w:style>
  <w:style w:type="character" w:customStyle="1" w:styleId="BodyText2Char">
    <w:name w:val="Body Text 2 Char"/>
    <w:basedOn w:val="DefaultParagraphFont"/>
    <w:link w:val="BodyText2"/>
    <w:rsid w:val="00645A76"/>
    <w:rPr>
      <w:rFonts w:ascii="Arial" w:hAnsi="Arial"/>
      <w:b/>
      <w:noProof/>
      <w:sz w:val="24"/>
      <w:u w:val="single"/>
    </w:rPr>
  </w:style>
  <w:style w:type="character" w:customStyle="1" w:styleId="BodyTextChar">
    <w:name w:val="Body Text Char"/>
    <w:basedOn w:val="DefaultParagraphFont"/>
    <w:link w:val="BodyText"/>
    <w:rsid w:val="00645A76"/>
    <w:rPr>
      <w:rFonts w:ascii="Arial" w:hAnsi="Arial"/>
      <w:sz w:val="24"/>
    </w:rPr>
  </w:style>
  <w:style w:type="character" w:customStyle="1" w:styleId="BalloonTextChar">
    <w:name w:val="Balloon Text Char"/>
    <w:basedOn w:val="DefaultParagraphFont"/>
    <w:link w:val="BalloonText"/>
    <w:semiHidden/>
    <w:rsid w:val="00645A76"/>
    <w:rPr>
      <w:rFonts w:ascii="Tahoma" w:hAnsi="Tahoma" w:cs="Tahoma"/>
      <w:sz w:val="16"/>
      <w:szCs w:val="16"/>
    </w:rPr>
  </w:style>
  <w:style w:type="character" w:customStyle="1" w:styleId="CommentTextChar">
    <w:name w:val="Comment Text Char"/>
    <w:basedOn w:val="DefaultParagraphFont"/>
    <w:link w:val="CommentText"/>
    <w:semiHidden/>
    <w:rsid w:val="00645A76"/>
  </w:style>
  <w:style w:type="character" w:customStyle="1" w:styleId="FooterChar">
    <w:name w:val="Footer Char"/>
    <w:basedOn w:val="DefaultParagraphFont"/>
    <w:link w:val="Footer"/>
    <w:rsid w:val="00645A76"/>
  </w:style>
  <w:style w:type="character" w:customStyle="1" w:styleId="FootnoteTextChar">
    <w:name w:val="Footnote Text Char"/>
    <w:basedOn w:val="DefaultParagraphFont"/>
    <w:link w:val="FootnoteText"/>
    <w:semiHidden/>
    <w:rsid w:val="00645A76"/>
  </w:style>
  <w:style w:type="character" w:customStyle="1" w:styleId="CommentSubjectChar">
    <w:name w:val="Comment Subject Char"/>
    <w:basedOn w:val="CommentTextChar"/>
    <w:link w:val="CommentSubject"/>
    <w:semiHidden/>
    <w:rsid w:val="00645A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72"/>
  </w:style>
  <w:style w:type="paragraph" w:styleId="Heading1">
    <w:name w:val="heading 1"/>
    <w:basedOn w:val="Normal"/>
    <w:next w:val="Normal"/>
    <w:link w:val="Heading1Char"/>
    <w:uiPriority w:val="99"/>
    <w:qFormat/>
    <w:rsid w:val="00695672"/>
    <w:pPr>
      <w:keepNext/>
      <w:outlineLvl w:val="0"/>
    </w:pPr>
    <w:rPr>
      <w:rFonts w:ascii="Univers" w:hAnsi="Univers"/>
      <w:b/>
      <w:color w:val="000000"/>
      <w:sz w:val="22"/>
    </w:rPr>
  </w:style>
  <w:style w:type="paragraph" w:styleId="Heading2">
    <w:name w:val="heading 2"/>
    <w:basedOn w:val="Normal"/>
    <w:next w:val="Normal"/>
    <w:link w:val="Heading2Char"/>
    <w:qFormat/>
    <w:rsid w:val="008776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5672"/>
    <w:pPr>
      <w:keepNext/>
      <w:spacing w:before="240" w:after="60"/>
      <w:outlineLvl w:val="2"/>
    </w:pPr>
    <w:rPr>
      <w:rFonts w:ascii="CG Times" w:hAnsi="CG Times"/>
      <w:b/>
      <w:noProof/>
      <w:sz w:val="24"/>
    </w:rPr>
  </w:style>
  <w:style w:type="paragraph" w:styleId="Heading9">
    <w:name w:val="heading 9"/>
    <w:basedOn w:val="Normal"/>
    <w:next w:val="Normal"/>
    <w:link w:val="Heading9Char"/>
    <w:qFormat/>
    <w:rsid w:val="00695672"/>
    <w:pPr>
      <w:keepNext/>
      <w:outlineLvl w:val="8"/>
    </w:pPr>
    <w:rPr>
      <w:rFonts w:ascii="CG Times" w:hAnsi="CG Times"/>
      <w:b/>
      <w:i/>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5672"/>
    <w:pPr>
      <w:tabs>
        <w:tab w:val="center" w:pos="4320"/>
        <w:tab w:val="right" w:pos="8640"/>
      </w:tabs>
    </w:pPr>
    <w:rPr>
      <w:rFonts w:ascii="Arial" w:hAnsi="Arial"/>
      <w:noProof/>
      <w:sz w:val="24"/>
    </w:rPr>
  </w:style>
  <w:style w:type="paragraph" w:styleId="BodyText2">
    <w:name w:val="Body Text 2"/>
    <w:basedOn w:val="Normal"/>
    <w:link w:val="BodyText2Char"/>
    <w:rsid w:val="00695672"/>
    <w:pPr>
      <w:jc w:val="both"/>
    </w:pPr>
    <w:rPr>
      <w:rFonts w:ascii="Arial" w:hAnsi="Arial"/>
      <w:b/>
      <w:noProof/>
      <w:sz w:val="24"/>
      <w:u w:val="single"/>
    </w:rPr>
  </w:style>
  <w:style w:type="character" w:styleId="Hyperlink">
    <w:name w:val="Hyperlink"/>
    <w:basedOn w:val="DefaultParagraphFont"/>
    <w:rsid w:val="00695672"/>
    <w:rPr>
      <w:color w:val="0000FF"/>
      <w:u w:val="single"/>
    </w:rPr>
  </w:style>
  <w:style w:type="paragraph" w:styleId="BodyTextIndent">
    <w:name w:val="Body Text Indent"/>
    <w:basedOn w:val="Normal"/>
    <w:link w:val="BodyTextIndentChar"/>
    <w:uiPriority w:val="99"/>
    <w:rsid w:val="00695672"/>
    <w:pPr>
      <w:spacing w:after="120"/>
      <w:ind w:left="283"/>
    </w:pPr>
  </w:style>
  <w:style w:type="paragraph" w:styleId="BodyText">
    <w:name w:val="Body Text"/>
    <w:basedOn w:val="Normal"/>
    <w:link w:val="BodyTextChar"/>
    <w:rsid w:val="00695672"/>
    <w:rPr>
      <w:rFonts w:ascii="Arial" w:hAnsi="Arial"/>
      <w:sz w:val="24"/>
    </w:rPr>
  </w:style>
  <w:style w:type="paragraph" w:styleId="BalloonText">
    <w:name w:val="Balloon Text"/>
    <w:basedOn w:val="Normal"/>
    <w:link w:val="BalloonTextChar"/>
    <w:semiHidden/>
    <w:rsid w:val="00FD39F0"/>
    <w:rPr>
      <w:rFonts w:ascii="Tahoma" w:hAnsi="Tahoma" w:cs="Tahoma"/>
      <w:sz w:val="16"/>
      <w:szCs w:val="16"/>
    </w:rPr>
  </w:style>
  <w:style w:type="table" w:styleId="TableGrid">
    <w:name w:val="Table Grid"/>
    <w:basedOn w:val="TableNormal"/>
    <w:rsid w:val="00FA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77680"/>
    <w:rPr>
      <w:sz w:val="16"/>
      <w:szCs w:val="16"/>
    </w:rPr>
  </w:style>
  <w:style w:type="paragraph" w:styleId="CommentText">
    <w:name w:val="annotation text"/>
    <w:basedOn w:val="Normal"/>
    <w:link w:val="CommentTextChar"/>
    <w:semiHidden/>
    <w:rsid w:val="00877680"/>
  </w:style>
  <w:style w:type="paragraph" w:customStyle="1" w:styleId="Heading">
    <w:name w:val="Heading"/>
    <w:basedOn w:val="Normal"/>
    <w:next w:val="Normal"/>
    <w:rsid w:val="00380D7A"/>
    <w:pPr>
      <w:spacing w:line="240" w:lineRule="exact"/>
    </w:pPr>
    <w:rPr>
      <w:rFonts w:ascii="Frutiger 45 Light" w:hAnsi="Frutiger 45 Light"/>
      <w:b/>
      <w:sz w:val="22"/>
    </w:rPr>
  </w:style>
  <w:style w:type="paragraph" w:customStyle="1" w:styleId="Para">
    <w:name w:val="Para"/>
    <w:basedOn w:val="Normal"/>
    <w:rsid w:val="00D24031"/>
    <w:pPr>
      <w:numPr>
        <w:numId w:val="1"/>
      </w:numPr>
    </w:pPr>
    <w:rPr>
      <w:rFonts w:ascii="Arial" w:hAnsi="Arial" w:cs="Arial"/>
      <w:sz w:val="24"/>
      <w:szCs w:val="24"/>
    </w:rPr>
  </w:style>
  <w:style w:type="paragraph" w:customStyle="1" w:styleId="Char3CharChar">
    <w:name w:val="Char3 Char Char"/>
    <w:basedOn w:val="Normal"/>
    <w:rsid w:val="009479FE"/>
    <w:pPr>
      <w:spacing w:after="160" w:line="240" w:lineRule="exact"/>
    </w:pPr>
    <w:rPr>
      <w:rFonts w:ascii="Verdana" w:hAnsi="Verdana"/>
      <w:lang w:val="en-US" w:eastAsia="en-US"/>
    </w:rPr>
  </w:style>
  <w:style w:type="paragraph" w:styleId="Footer">
    <w:name w:val="footer"/>
    <w:basedOn w:val="Normal"/>
    <w:link w:val="FooterChar"/>
    <w:rsid w:val="00CE0930"/>
    <w:pPr>
      <w:tabs>
        <w:tab w:val="center" w:pos="4153"/>
        <w:tab w:val="right" w:pos="8306"/>
      </w:tabs>
    </w:pPr>
  </w:style>
  <w:style w:type="paragraph" w:styleId="FootnoteText">
    <w:name w:val="footnote text"/>
    <w:basedOn w:val="Normal"/>
    <w:link w:val="FootnoteTextChar"/>
    <w:semiHidden/>
    <w:rsid w:val="00F76E2D"/>
  </w:style>
  <w:style w:type="character" w:styleId="FootnoteReference">
    <w:name w:val="footnote reference"/>
    <w:basedOn w:val="DefaultParagraphFont"/>
    <w:semiHidden/>
    <w:rsid w:val="00F76E2D"/>
    <w:rPr>
      <w:vertAlign w:val="superscript"/>
    </w:rPr>
  </w:style>
  <w:style w:type="paragraph" w:customStyle="1" w:styleId="Bullet">
    <w:name w:val="Bullet"/>
    <w:basedOn w:val="Normal"/>
    <w:rsid w:val="00AC64A6"/>
    <w:pPr>
      <w:numPr>
        <w:numId w:val="9"/>
      </w:numPr>
      <w:spacing w:before="120"/>
    </w:pPr>
    <w:rPr>
      <w:sz w:val="24"/>
      <w:szCs w:val="24"/>
    </w:rPr>
  </w:style>
  <w:style w:type="paragraph" w:customStyle="1" w:styleId="CharChar2">
    <w:name w:val="Char Char2"/>
    <w:basedOn w:val="Normal"/>
    <w:rsid w:val="00AC64A6"/>
    <w:pPr>
      <w:spacing w:after="120" w:line="240" w:lineRule="exact"/>
    </w:pPr>
    <w:rPr>
      <w:rFonts w:ascii="Verdana" w:hAnsi="Verdana"/>
      <w:lang w:val="en-US" w:eastAsia="en-US"/>
    </w:rPr>
  </w:style>
  <w:style w:type="paragraph" w:customStyle="1" w:styleId="CharChar">
    <w:name w:val="Char Char"/>
    <w:basedOn w:val="Normal"/>
    <w:rsid w:val="00BB7656"/>
    <w:pPr>
      <w:spacing w:after="160" w:line="240" w:lineRule="exact"/>
    </w:pPr>
    <w:rPr>
      <w:rFonts w:ascii="Verdana" w:hAnsi="Verdana"/>
      <w:lang w:val="en-US" w:eastAsia="en-US"/>
    </w:rPr>
  </w:style>
  <w:style w:type="character" w:customStyle="1" w:styleId="HeaderChar">
    <w:name w:val="Header Char"/>
    <w:basedOn w:val="DefaultParagraphFont"/>
    <w:link w:val="Header"/>
    <w:uiPriority w:val="99"/>
    <w:rsid w:val="0045242A"/>
    <w:rPr>
      <w:rFonts w:ascii="Arial" w:hAnsi="Arial"/>
      <w:noProof/>
      <w:sz w:val="24"/>
      <w:lang w:val="en-GB" w:eastAsia="en-GB" w:bidi="ar-SA"/>
    </w:rPr>
  </w:style>
  <w:style w:type="paragraph" w:styleId="ListParagraph">
    <w:name w:val="List Paragraph"/>
    <w:basedOn w:val="Normal"/>
    <w:uiPriority w:val="99"/>
    <w:qFormat/>
    <w:rsid w:val="0045242A"/>
    <w:pPr>
      <w:ind w:left="720"/>
      <w:contextualSpacing/>
    </w:pPr>
    <w:rPr>
      <w:rFonts w:eastAsia="Calibri"/>
    </w:rPr>
  </w:style>
  <w:style w:type="paragraph" w:styleId="CommentSubject">
    <w:name w:val="annotation subject"/>
    <w:basedOn w:val="CommentText"/>
    <w:next w:val="CommentText"/>
    <w:link w:val="CommentSubjectChar"/>
    <w:semiHidden/>
    <w:rsid w:val="00AC2937"/>
    <w:rPr>
      <w:b/>
      <w:bCs/>
    </w:rPr>
  </w:style>
  <w:style w:type="paragraph" w:customStyle="1" w:styleId="Default">
    <w:name w:val="Default"/>
    <w:rsid w:val="009A6F1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9"/>
    <w:rsid w:val="00AF5D3F"/>
    <w:rPr>
      <w:rFonts w:ascii="Univers" w:hAnsi="Univers"/>
      <w:b/>
      <w:color w:val="000000"/>
      <w:sz w:val="22"/>
    </w:rPr>
  </w:style>
  <w:style w:type="character" w:customStyle="1" w:styleId="BodyTextIndentChar">
    <w:name w:val="Body Text Indent Char"/>
    <w:basedOn w:val="DefaultParagraphFont"/>
    <w:link w:val="BodyTextIndent"/>
    <w:uiPriority w:val="99"/>
    <w:rsid w:val="00AF5D3F"/>
  </w:style>
  <w:style w:type="character" w:customStyle="1" w:styleId="Heading2Char">
    <w:name w:val="Heading 2 Char"/>
    <w:basedOn w:val="DefaultParagraphFont"/>
    <w:link w:val="Heading2"/>
    <w:rsid w:val="00645A76"/>
    <w:rPr>
      <w:rFonts w:ascii="Arial" w:hAnsi="Arial" w:cs="Arial"/>
      <w:b/>
      <w:bCs/>
      <w:i/>
      <w:iCs/>
      <w:sz w:val="28"/>
      <w:szCs w:val="28"/>
    </w:rPr>
  </w:style>
  <w:style w:type="character" w:customStyle="1" w:styleId="Heading3Char">
    <w:name w:val="Heading 3 Char"/>
    <w:basedOn w:val="DefaultParagraphFont"/>
    <w:link w:val="Heading3"/>
    <w:rsid w:val="00645A76"/>
    <w:rPr>
      <w:rFonts w:ascii="CG Times" w:hAnsi="CG Times"/>
      <w:b/>
      <w:noProof/>
      <w:sz w:val="24"/>
    </w:rPr>
  </w:style>
  <w:style w:type="character" w:customStyle="1" w:styleId="Heading9Char">
    <w:name w:val="Heading 9 Char"/>
    <w:basedOn w:val="DefaultParagraphFont"/>
    <w:link w:val="Heading9"/>
    <w:rsid w:val="00645A76"/>
    <w:rPr>
      <w:rFonts w:ascii="CG Times" w:hAnsi="CG Times"/>
      <w:b/>
      <w:i/>
      <w:noProof/>
      <w:sz w:val="24"/>
    </w:rPr>
  </w:style>
  <w:style w:type="character" w:customStyle="1" w:styleId="BodyText2Char">
    <w:name w:val="Body Text 2 Char"/>
    <w:basedOn w:val="DefaultParagraphFont"/>
    <w:link w:val="BodyText2"/>
    <w:rsid w:val="00645A76"/>
    <w:rPr>
      <w:rFonts w:ascii="Arial" w:hAnsi="Arial"/>
      <w:b/>
      <w:noProof/>
      <w:sz w:val="24"/>
      <w:u w:val="single"/>
    </w:rPr>
  </w:style>
  <w:style w:type="character" w:customStyle="1" w:styleId="BodyTextChar">
    <w:name w:val="Body Text Char"/>
    <w:basedOn w:val="DefaultParagraphFont"/>
    <w:link w:val="BodyText"/>
    <w:rsid w:val="00645A76"/>
    <w:rPr>
      <w:rFonts w:ascii="Arial" w:hAnsi="Arial"/>
      <w:sz w:val="24"/>
    </w:rPr>
  </w:style>
  <w:style w:type="character" w:customStyle="1" w:styleId="BalloonTextChar">
    <w:name w:val="Balloon Text Char"/>
    <w:basedOn w:val="DefaultParagraphFont"/>
    <w:link w:val="BalloonText"/>
    <w:semiHidden/>
    <w:rsid w:val="00645A76"/>
    <w:rPr>
      <w:rFonts w:ascii="Tahoma" w:hAnsi="Tahoma" w:cs="Tahoma"/>
      <w:sz w:val="16"/>
      <w:szCs w:val="16"/>
    </w:rPr>
  </w:style>
  <w:style w:type="character" w:customStyle="1" w:styleId="CommentTextChar">
    <w:name w:val="Comment Text Char"/>
    <w:basedOn w:val="DefaultParagraphFont"/>
    <w:link w:val="CommentText"/>
    <w:semiHidden/>
    <w:rsid w:val="00645A76"/>
  </w:style>
  <w:style w:type="character" w:customStyle="1" w:styleId="FooterChar">
    <w:name w:val="Footer Char"/>
    <w:basedOn w:val="DefaultParagraphFont"/>
    <w:link w:val="Footer"/>
    <w:rsid w:val="00645A76"/>
  </w:style>
  <w:style w:type="character" w:customStyle="1" w:styleId="FootnoteTextChar">
    <w:name w:val="Footnote Text Char"/>
    <w:basedOn w:val="DefaultParagraphFont"/>
    <w:link w:val="FootnoteText"/>
    <w:semiHidden/>
    <w:rsid w:val="00645A76"/>
  </w:style>
  <w:style w:type="character" w:customStyle="1" w:styleId="CommentSubjectChar">
    <w:name w:val="Comment Subject Char"/>
    <w:basedOn w:val="CommentTextChar"/>
    <w:link w:val="CommentSubject"/>
    <w:semiHidden/>
    <w:rsid w:val="00645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376C-1B10-4EC9-858B-47853FC4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To:</vt:lpstr>
    </vt:vector>
  </TitlesOfParts>
  <Company>Department of Health</Company>
  <LinksUpToDate>false</LinksUpToDate>
  <CharactersWithSpaces>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1080391</dc:creator>
  <cp:lastModifiedBy>Sofia Lind</cp:lastModifiedBy>
  <cp:revision>2</cp:revision>
  <cp:lastPrinted>2012-12-12T10:38:00Z</cp:lastPrinted>
  <dcterms:created xsi:type="dcterms:W3CDTF">2013-01-29T13:15:00Z</dcterms:created>
  <dcterms:modified xsi:type="dcterms:W3CDTF">2013-01-29T13:15:00Z</dcterms:modified>
</cp:coreProperties>
</file>