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A547" w14:textId="77777777" w:rsidR="000C32B7" w:rsidRPr="00A054AF" w:rsidRDefault="000C32B7" w:rsidP="000C32B7">
      <w:pPr>
        <w:pStyle w:val="NICEnormal"/>
        <w:jc w:val="center"/>
        <w:rPr>
          <w:rFonts w:cs="Arial"/>
          <w:b/>
          <w:bCs/>
          <w:sz w:val="22"/>
          <w:szCs w:val="22"/>
        </w:rPr>
      </w:pPr>
      <w:bookmarkStart w:id="0" w:name="_GoBack"/>
      <w:bookmarkEnd w:id="0"/>
      <w:r w:rsidRPr="00A054AF">
        <w:rPr>
          <w:rFonts w:cs="Arial"/>
          <w:b/>
          <w:bCs/>
          <w:sz w:val="22"/>
          <w:szCs w:val="22"/>
        </w:rPr>
        <w:t>National Institute for Health and C</w:t>
      </w:r>
      <w:r w:rsidR="008F590F">
        <w:rPr>
          <w:rFonts w:cs="Arial"/>
          <w:b/>
          <w:bCs/>
          <w:sz w:val="22"/>
          <w:szCs w:val="22"/>
        </w:rPr>
        <w:t>are</w:t>
      </w:r>
      <w:r w:rsidRPr="00A054AF">
        <w:rPr>
          <w:rFonts w:cs="Arial"/>
          <w:b/>
          <w:bCs/>
          <w:sz w:val="22"/>
          <w:szCs w:val="22"/>
        </w:rPr>
        <w:t xml:space="preserve"> Excellence</w:t>
      </w:r>
    </w:p>
    <w:p w14:paraId="5D15A548" w14:textId="77777777" w:rsidR="000C32B7" w:rsidRPr="00A054AF" w:rsidRDefault="000C32B7" w:rsidP="000C32B7">
      <w:pPr>
        <w:pStyle w:val="NICEnormal"/>
        <w:jc w:val="center"/>
        <w:rPr>
          <w:rFonts w:cs="Arial"/>
          <w:b/>
          <w:sz w:val="22"/>
          <w:szCs w:val="22"/>
        </w:rPr>
      </w:pPr>
      <w:r w:rsidRPr="00A054AF">
        <w:rPr>
          <w:rFonts w:cs="Arial"/>
          <w:b/>
          <w:bCs/>
          <w:sz w:val="22"/>
          <w:szCs w:val="22"/>
        </w:rPr>
        <w:t xml:space="preserve"> NICE </w:t>
      </w:r>
      <w:r w:rsidR="009557DB">
        <w:rPr>
          <w:rFonts w:cs="Arial"/>
          <w:b/>
          <w:bCs/>
          <w:sz w:val="22"/>
          <w:szCs w:val="22"/>
        </w:rPr>
        <w:t>Indicators</w:t>
      </w:r>
      <w:r w:rsidRPr="00A054AF">
        <w:rPr>
          <w:rFonts w:cs="Arial"/>
          <w:b/>
          <w:bCs/>
          <w:sz w:val="22"/>
          <w:szCs w:val="22"/>
        </w:rPr>
        <w:t xml:space="preserve"> Consultation</w:t>
      </w:r>
    </w:p>
    <w:p w14:paraId="5D15A549" w14:textId="77777777" w:rsidR="000C32B7" w:rsidRPr="00A054AF" w:rsidRDefault="007E27C8" w:rsidP="000C32B7">
      <w:pPr>
        <w:pStyle w:val="Header"/>
        <w:jc w:val="center"/>
        <w:rPr>
          <w:rFonts w:cs="Arial"/>
          <w:b/>
          <w:bCs/>
          <w:sz w:val="22"/>
          <w:szCs w:val="22"/>
        </w:rPr>
      </w:pPr>
      <w:r>
        <w:rPr>
          <w:rFonts w:cs="Arial"/>
          <w:b/>
          <w:bCs/>
          <w:sz w:val="22"/>
          <w:szCs w:val="22"/>
        </w:rPr>
        <w:t xml:space="preserve">Closing date: </w:t>
      </w:r>
      <w:r w:rsidR="007F2D52">
        <w:rPr>
          <w:rFonts w:cs="Arial"/>
          <w:b/>
          <w:bCs/>
          <w:sz w:val="22"/>
          <w:szCs w:val="22"/>
        </w:rPr>
        <w:t xml:space="preserve">5pm </w:t>
      </w:r>
      <w:r w:rsidR="00D46DA5">
        <w:rPr>
          <w:rFonts w:cs="Arial"/>
          <w:b/>
          <w:bCs/>
          <w:sz w:val="22"/>
          <w:szCs w:val="22"/>
        </w:rPr>
        <w:t>–</w:t>
      </w:r>
      <w:r w:rsidR="007F2D52">
        <w:rPr>
          <w:rFonts w:cs="Arial"/>
          <w:b/>
          <w:bCs/>
          <w:sz w:val="22"/>
          <w:szCs w:val="22"/>
        </w:rPr>
        <w:t xml:space="preserve"> </w:t>
      </w:r>
      <w:r w:rsidR="00441465">
        <w:rPr>
          <w:rFonts w:cs="Arial"/>
          <w:b/>
          <w:bCs/>
          <w:sz w:val="22"/>
          <w:szCs w:val="22"/>
        </w:rPr>
        <w:t>23</w:t>
      </w:r>
      <w:r w:rsidR="00441465" w:rsidRPr="00441465">
        <w:rPr>
          <w:rFonts w:cs="Arial"/>
          <w:b/>
          <w:bCs/>
          <w:sz w:val="22"/>
          <w:szCs w:val="22"/>
          <w:vertAlign w:val="superscript"/>
        </w:rPr>
        <w:t>rd</w:t>
      </w:r>
      <w:r w:rsidR="00441465">
        <w:rPr>
          <w:rFonts w:cs="Arial"/>
          <w:b/>
          <w:bCs/>
          <w:sz w:val="22"/>
          <w:szCs w:val="22"/>
        </w:rPr>
        <w:t xml:space="preserve"> February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11280"/>
      </w:tblGrid>
      <w:tr w:rsidR="000C32B7" w:rsidRPr="00A054AF" w14:paraId="5D15A54C" w14:textId="77777777" w:rsidTr="009557DB">
        <w:tc>
          <w:tcPr>
            <w:tcW w:w="2896" w:type="dxa"/>
          </w:tcPr>
          <w:p w14:paraId="5D15A54A" w14:textId="77777777" w:rsidR="000C32B7" w:rsidRPr="00A054AF" w:rsidRDefault="000C32B7" w:rsidP="00F43A68">
            <w:pPr>
              <w:spacing w:before="120" w:after="60"/>
              <w:rPr>
                <w:rFonts w:ascii="Arial" w:hAnsi="Arial" w:cs="Arial"/>
                <w:bCs/>
              </w:rPr>
            </w:pPr>
            <w:r w:rsidRPr="00A054AF">
              <w:rPr>
                <w:rFonts w:ascii="Arial" w:hAnsi="Arial" w:cs="Arial"/>
                <w:bCs/>
              </w:rPr>
              <w:t>Organisation</w:t>
            </w:r>
          </w:p>
        </w:tc>
        <w:tc>
          <w:tcPr>
            <w:tcW w:w="11280" w:type="dxa"/>
          </w:tcPr>
          <w:p w14:paraId="5D15A54B" w14:textId="67D8101C" w:rsidR="000C32B7" w:rsidRPr="00A054AF" w:rsidRDefault="009A7C2E" w:rsidP="00F43A68">
            <w:pPr>
              <w:spacing w:before="120" w:after="60"/>
              <w:rPr>
                <w:rFonts w:ascii="Arial" w:hAnsi="Arial" w:cs="Arial"/>
                <w:b/>
              </w:rPr>
            </w:pPr>
            <w:r>
              <w:rPr>
                <w:rFonts w:ascii="Arial" w:hAnsi="Arial" w:cs="Arial"/>
                <w:b/>
              </w:rPr>
              <w:t>British Medical Association</w:t>
            </w:r>
          </w:p>
        </w:tc>
      </w:tr>
      <w:tr w:rsidR="000C32B7" w:rsidRPr="00A054AF" w14:paraId="5D15A54F" w14:textId="77777777" w:rsidTr="009557DB">
        <w:tc>
          <w:tcPr>
            <w:tcW w:w="2896" w:type="dxa"/>
          </w:tcPr>
          <w:p w14:paraId="5D15A54D" w14:textId="77777777" w:rsidR="000C32B7" w:rsidRPr="00A054AF" w:rsidRDefault="000C32B7" w:rsidP="00F43A68">
            <w:pPr>
              <w:spacing w:before="120" w:after="60"/>
              <w:rPr>
                <w:rFonts w:ascii="Arial" w:hAnsi="Arial" w:cs="Arial"/>
                <w:bCs/>
              </w:rPr>
            </w:pPr>
            <w:r w:rsidRPr="00A054AF">
              <w:rPr>
                <w:rFonts w:ascii="Arial" w:hAnsi="Arial" w:cs="Arial"/>
                <w:bCs/>
              </w:rPr>
              <w:t>Title (e.g. Dr, Mr, Ms, Prof)</w:t>
            </w:r>
          </w:p>
        </w:tc>
        <w:tc>
          <w:tcPr>
            <w:tcW w:w="11280" w:type="dxa"/>
          </w:tcPr>
          <w:p w14:paraId="5D15A54E" w14:textId="66EEEE4B" w:rsidR="000C32B7" w:rsidRPr="00EB522E" w:rsidRDefault="009A7C2E" w:rsidP="00F43A68">
            <w:pPr>
              <w:spacing w:before="120" w:after="60"/>
              <w:rPr>
                <w:rFonts w:ascii="Arial" w:hAnsi="Arial" w:cs="Arial"/>
              </w:rPr>
            </w:pPr>
            <w:r w:rsidRPr="00EB522E">
              <w:rPr>
                <w:rFonts w:ascii="Arial" w:hAnsi="Arial" w:cs="Arial"/>
              </w:rPr>
              <w:t>Ms</w:t>
            </w:r>
          </w:p>
        </w:tc>
      </w:tr>
      <w:tr w:rsidR="00823F0A" w:rsidRPr="00A054AF" w14:paraId="5D15A552" w14:textId="77777777" w:rsidTr="009557DB">
        <w:tc>
          <w:tcPr>
            <w:tcW w:w="2896" w:type="dxa"/>
          </w:tcPr>
          <w:p w14:paraId="5D15A550" w14:textId="77777777" w:rsidR="00823F0A" w:rsidRPr="00A054AF" w:rsidRDefault="00823F0A" w:rsidP="00F43A68">
            <w:pPr>
              <w:spacing w:before="120" w:after="60"/>
              <w:rPr>
                <w:rFonts w:ascii="Arial" w:hAnsi="Arial" w:cs="Arial"/>
              </w:rPr>
            </w:pPr>
            <w:r>
              <w:rPr>
                <w:rFonts w:ascii="Arial" w:hAnsi="Arial" w:cs="Arial"/>
              </w:rPr>
              <w:t>Name</w:t>
            </w:r>
          </w:p>
        </w:tc>
        <w:tc>
          <w:tcPr>
            <w:tcW w:w="11280" w:type="dxa"/>
          </w:tcPr>
          <w:p w14:paraId="5D15A551" w14:textId="0EE1F3E4" w:rsidR="00823F0A" w:rsidRPr="00A054AF" w:rsidRDefault="009A7C2E" w:rsidP="00F43A68">
            <w:pPr>
              <w:spacing w:before="120" w:after="60"/>
              <w:rPr>
                <w:rFonts w:ascii="Arial" w:hAnsi="Arial" w:cs="Arial"/>
              </w:rPr>
            </w:pPr>
            <w:r>
              <w:rPr>
                <w:rFonts w:ascii="Arial" w:hAnsi="Arial" w:cs="Arial"/>
              </w:rPr>
              <w:t>Catharina Ohman-Smith</w:t>
            </w:r>
          </w:p>
        </w:tc>
      </w:tr>
      <w:tr w:rsidR="000C32B7" w:rsidRPr="00A054AF" w14:paraId="5D15A555" w14:textId="77777777" w:rsidTr="009557DB">
        <w:tc>
          <w:tcPr>
            <w:tcW w:w="2896" w:type="dxa"/>
          </w:tcPr>
          <w:p w14:paraId="5D15A553" w14:textId="77777777" w:rsidR="000C32B7" w:rsidRPr="00A054AF" w:rsidRDefault="000C32B7" w:rsidP="00F43A68">
            <w:pPr>
              <w:spacing w:before="120" w:after="60"/>
              <w:rPr>
                <w:rFonts w:ascii="Arial" w:hAnsi="Arial" w:cs="Arial"/>
              </w:rPr>
            </w:pPr>
            <w:r w:rsidRPr="00A054AF">
              <w:rPr>
                <w:rFonts w:ascii="Arial" w:hAnsi="Arial" w:cs="Arial"/>
              </w:rPr>
              <w:t>Job title or role</w:t>
            </w:r>
          </w:p>
        </w:tc>
        <w:tc>
          <w:tcPr>
            <w:tcW w:w="11280" w:type="dxa"/>
          </w:tcPr>
          <w:p w14:paraId="5D15A554" w14:textId="62C35A90" w:rsidR="000C32B7" w:rsidRPr="00A054AF" w:rsidRDefault="009A7C2E" w:rsidP="00F43A68">
            <w:pPr>
              <w:spacing w:before="120" w:after="60"/>
              <w:rPr>
                <w:rFonts w:ascii="Arial" w:hAnsi="Arial" w:cs="Arial"/>
              </w:rPr>
            </w:pPr>
            <w:r>
              <w:rPr>
                <w:rFonts w:ascii="Arial" w:hAnsi="Arial" w:cs="Arial"/>
              </w:rPr>
              <w:t xml:space="preserve">Senior Policy Executive </w:t>
            </w:r>
          </w:p>
        </w:tc>
      </w:tr>
      <w:tr w:rsidR="000C32B7" w:rsidRPr="00A054AF" w14:paraId="5D15A558" w14:textId="77777777" w:rsidTr="009557DB">
        <w:trPr>
          <w:trHeight w:val="822"/>
        </w:trPr>
        <w:tc>
          <w:tcPr>
            <w:tcW w:w="2896" w:type="dxa"/>
          </w:tcPr>
          <w:p w14:paraId="5D15A556" w14:textId="77777777" w:rsidR="000C32B7" w:rsidRPr="00A054AF" w:rsidRDefault="000C32B7" w:rsidP="00F43A68">
            <w:pPr>
              <w:spacing w:before="120" w:after="60"/>
              <w:rPr>
                <w:rFonts w:ascii="Arial" w:hAnsi="Arial" w:cs="Arial"/>
              </w:rPr>
            </w:pPr>
            <w:r w:rsidRPr="00A054AF">
              <w:rPr>
                <w:rFonts w:ascii="Arial" w:hAnsi="Arial" w:cs="Arial"/>
              </w:rPr>
              <w:t>Address and post code</w:t>
            </w:r>
          </w:p>
        </w:tc>
        <w:tc>
          <w:tcPr>
            <w:tcW w:w="11280" w:type="dxa"/>
          </w:tcPr>
          <w:p w14:paraId="5D15A557" w14:textId="7B763FB1" w:rsidR="000C32B7" w:rsidRPr="00A054AF" w:rsidRDefault="009A7C2E" w:rsidP="00F43A68">
            <w:pPr>
              <w:spacing w:before="120" w:after="60"/>
              <w:rPr>
                <w:rFonts w:ascii="Arial" w:hAnsi="Arial" w:cs="Arial"/>
              </w:rPr>
            </w:pPr>
            <w:r>
              <w:rPr>
                <w:rFonts w:ascii="Arial" w:hAnsi="Arial" w:cs="Arial"/>
              </w:rPr>
              <w:t>NHS Primary Care, BMA House, Tavistock Square, London WC1H 9JP</w:t>
            </w:r>
          </w:p>
        </w:tc>
      </w:tr>
      <w:tr w:rsidR="000C32B7" w:rsidRPr="00A054AF" w14:paraId="5D15A55B" w14:textId="77777777" w:rsidTr="009557DB">
        <w:tc>
          <w:tcPr>
            <w:tcW w:w="2896" w:type="dxa"/>
          </w:tcPr>
          <w:p w14:paraId="5D15A559" w14:textId="77777777" w:rsidR="000C32B7" w:rsidRPr="00A054AF" w:rsidRDefault="000C32B7" w:rsidP="00F43A68">
            <w:pPr>
              <w:spacing w:before="120" w:after="60"/>
              <w:rPr>
                <w:rFonts w:ascii="Arial" w:hAnsi="Arial" w:cs="Arial"/>
              </w:rPr>
            </w:pPr>
            <w:r w:rsidRPr="00A054AF">
              <w:rPr>
                <w:rFonts w:ascii="Arial" w:hAnsi="Arial" w:cs="Arial"/>
              </w:rPr>
              <w:t>Telephone number</w:t>
            </w:r>
          </w:p>
        </w:tc>
        <w:tc>
          <w:tcPr>
            <w:tcW w:w="11280" w:type="dxa"/>
          </w:tcPr>
          <w:p w14:paraId="5D15A55A" w14:textId="02767366" w:rsidR="000C32B7" w:rsidRPr="00A054AF" w:rsidRDefault="009A7C2E" w:rsidP="00F43A68">
            <w:pPr>
              <w:spacing w:before="120" w:after="60"/>
              <w:rPr>
                <w:rFonts w:ascii="Arial" w:hAnsi="Arial" w:cs="Arial"/>
              </w:rPr>
            </w:pPr>
            <w:r>
              <w:rPr>
                <w:rFonts w:ascii="Arial" w:hAnsi="Arial" w:cs="Arial"/>
              </w:rPr>
              <w:t>020 7383 6820</w:t>
            </w:r>
          </w:p>
        </w:tc>
      </w:tr>
      <w:tr w:rsidR="000C32B7" w:rsidRPr="00A054AF" w14:paraId="5D15A55E" w14:textId="77777777" w:rsidTr="009557DB">
        <w:tc>
          <w:tcPr>
            <w:tcW w:w="2896" w:type="dxa"/>
          </w:tcPr>
          <w:p w14:paraId="5D15A55C" w14:textId="77777777" w:rsidR="000C32B7" w:rsidRPr="00A054AF" w:rsidRDefault="000C32B7" w:rsidP="00F43A68">
            <w:pPr>
              <w:spacing w:before="120" w:after="60"/>
              <w:rPr>
                <w:rFonts w:ascii="Arial" w:hAnsi="Arial" w:cs="Arial"/>
              </w:rPr>
            </w:pPr>
            <w:r w:rsidRPr="00A054AF">
              <w:rPr>
                <w:rFonts w:ascii="Arial" w:hAnsi="Arial" w:cs="Arial"/>
              </w:rPr>
              <w:t>Email address</w:t>
            </w:r>
          </w:p>
        </w:tc>
        <w:tc>
          <w:tcPr>
            <w:tcW w:w="11280" w:type="dxa"/>
          </w:tcPr>
          <w:p w14:paraId="5D15A55D" w14:textId="450B836D" w:rsidR="000C32B7" w:rsidRPr="00A054AF" w:rsidRDefault="00503808" w:rsidP="00F43A68">
            <w:pPr>
              <w:spacing w:before="120" w:after="60"/>
              <w:rPr>
                <w:rFonts w:ascii="Arial" w:hAnsi="Arial" w:cs="Arial"/>
              </w:rPr>
            </w:pPr>
            <w:hyperlink r:id="rId8" w:history="1">
              <w:r w:rsidR="00117F57" w:rsidRPr="005005EF">
                <w:rPr>
                  <w:rStyle w:val="Hyperlink"/>
                  <w:rFonts w:ascii="Arial" w:hAnsi="Arial" w:cs="Arial"/>
                </w:rPr>
                <w:t>COhman-Smith@bma.org.uk</w:t>
              </w:r>
            </w:hyperlink>
            <w:r w:rsidR="00117F57">
              <w:rPr>
                <w:rFonts w:ascii="Arial" w:hAnsi="Arial" w:cs="Arial"/>
              </w:rPr>
              <w:t xml:space="preserve"> or </w:t>
            </w:r>
            <w:hyperlink r:id="rId9" w:history="1">
              <w:r w:rsidR="00117F57" w:rsidRPr="005005EF">
                <w:rPr>
                  <w:rStyle w:val="Hyperlink"/>
                  <w:rFonts w:ascii="Arial" w:hAnsi="Arial" w:cs="Arial"/>
                </w:rPr>
                <w:t>info.gpc@bma.org.uk</w:t>
              </w:r>
            </w:hyperlink>
            <w:r w:rsidR="00117F57">
              <w:rPr>
                <w:rFonts w:ascii="Arial" w:hAnsi="Arial" w:cs="Arial"/>
              </w:rPr>
              <w:t xml:space="preserve"> </w:t>
            </w:r>
          </w:p>
        </w:tc>
      </w:tr>
      <w:tr w:rsidR="000C32B7" w:rsidRPr="00A054AF" w14:paraId="5D15A560" w14:textId="77777777" w:rsidTr="009557DB">
        <w:tc>
          <w:tcPr>
            <w:tcW w:w="14176" w:type="dxa"/>
            <w:gridSpan w:val="2"/>
          </w:tcPr>
          <w:p w14:paraId="5D15A55F" w14:textId="77777777" w:rsidR="000C32B7" w:rsidRPr="00A054AF" w:rsidRDefault="008F2093" w:rsidP="009557DB">
            <w:pPr>
              <w:spacing w:before="120" w:after="60"/>
              <w:rPr>
                <w:rFonts w:ascii="Arial" w:hAnsi="Arial" w:cs="Arial"/>
              </w:rPr>
            </w:pPr>
            <w:r w:rsidRPr="008F2093">
              <w:rPr>
                <w:rFonts w:ascii="Arial" w:hAnsi="Arial" w:cs="Arial"/>
                <w:b/>
              </w:rPr>
              <w:t>Please note</w:t>
            </w:r>
            <w:r w:rsidR="009557DB">
              <w:rPr>
                <w:rFonts w:ascii="Arial" w:hAnsi="Arial" w:cs="Arial"/>
              </w:rPr>
              <w:t xml:space="preserve">: comments submitted on draft indicators </w:t>
            </w:r>
            <w:r>
              <w:rPr>
                <w:rFonts w:ascii="Arial" w:hAnsi="Arial" w:cs="Arial"/>
              </w:rPr>
              <w:t>are published on the NICE website.</w:t>
            </w:r>
          </w:p>
        </w:tc>
      </w:tr>
    </w:tbl>
    <w:p w14:paraId="5D15A561" w14:textId="77777777" w:rsidR="00272595" w:rsidRDefault="00272595" w:rsidP="000C32B7">
      <w:pPr>
        <w:rPr>
          <w:rFonts w:ascii="Arial" w:hAnsi="Arial" w:cs="Arial"/>
          <w:sz w:val="20"/>
        </w:rPr>
      </w:pPr>
    </w:p>
    <w:p w14:paraId="5D15A562" w14:textId="77777777" w:rsidR="000C32B7" w:rsidRPr="00A054AF" w:rsidRDefault="000C32B7" w:rsidP="000C32B7">
      <w:pPr>
        <w:rPr>
          <w:rFonts w:ascii="Arial" w:hAnsi="Arial" w:cs="Arial"/>
          <w:sz w:val="20"/>
        </w:rPr>
      </w:pPr>
      <w:r w:rsidRPr="00A054AF">
        <w:rPr>
          <w:rFonts w:ascii="Arial" w:hAnsi="Arial" w:cs="Arial"/>
          <w:sz w:val="20"/>
        </w:rPr>
        <w:t>The personal data submitted on this form will be used by the National Institute for Health and C</w:t>
      </w:r>
      <w:r w:rsidR="008F590F">
        <w:rPr>
          <w:rFonts w:ascii="Arial" w:hAnsi="Arial" w:cs="Arial"/>
          <w:sz w:val="20"/>
        </w:rPr>
        <w:t xml:space="preserve">are </w:t>
      </w:r>
      <w:r w:rsidRPr="00A054AF">
        <w:rPr>
          <w:rFonts w:ascii="Arial" w:hAnsi="Arial" w:cs="Arial"/>
          <w:sz w:val="20"/>
        </w:rPr>
        <w:t>Excellence (NICE) for the purpose specified. The information will not be passed to any other third party and will be held in accordance with the Data Protection Act 1998.</w:t>
      </w:r>
    </w:p>
    <w:p w14:paraId="5D15A563" w14:textId="77777777" w:rsidR="000C32B7" w:rsidRPr="00A054AF" w:rsidRDefault="000C32B7" w:rsidP="000C32B7">
      <w:pPr>
        <w:rPr>
          <w:rFonts w:ascii="Arial" w:hAnsi="Arial" w:cs="Arial"/>
          <w:sz w:val="20"/>
        </w:rPr>
        <w:sectPr w:rsidR="000C32B7" w:rsidRPr="00A054AF" w:rsidSect="00F43A68">
          <w:pgSz w:w="16840" w:h="11907" w:orient="landscape" w:code="9"/>
          <w:pgMar w:top="1797" w:right="1440" w:bottom="1797" w:left="1440" w:header="709" w:footer="709" w:gutter="0"/>
          <w:cols w:space="708"/>
          <w:docGrid w:linePitch="360"/>
        </w:sectPr>
      </w:pPr>
    </w:p>
    <w:p w14:paraId="5D15A564" w14:textId="77777777" w:rsidR="00640E36" w:rsidRPr="008A49B4" w:rsidRDefault="00640E36" w:rsidP="00640E36">
      <w:pPr>
        <w:rPr>
          <w:rFonts w:ascii="Arial" w:hAnsi="Arial" w:cs="Arial"/>
        </w:rPr>
      </w:pPr>
      <w:r>
        <w:rPr>
          <w:rFonts w:ascii="Arial" w:hAnsi="Arial" w:cs="Arial"/>
        </w:rPr>
        <w:lastRenderedPageBreak/>
        <w:t>Please provide comment</w:t>
      </w:r>
      <w:r w:rsidR="00303E22">
        <w:rPr>
          <w:rFonts w:ascii="Arial" w:hAnsi="Arial" w:cs="Arial"/>
        </w:rPr>
        <w:t xml:space="preserve">s on the draft </w:t>
      </w:r>
      <w:r w:rsidR="009557DB">
        <w:rPr>
          <w:rFonts w:ascii="Arial" w:hAnsi="Arial" w:cs="Arial"/>
        </w:rPr>
        <w:t>indicators</w:t>
      </w:r>
      <w:r>
        <w:rPr>
          <w:rFonts w:ascii="Arial" w:hAnsi="Arial" w:cs="Arial"/>
        </w:rPr>
        <w:t xml:space="preserve"> on the form below</w:t>
      </w:r>
      <w:r w:rsidR="00FA654A">
        <w:rPr>
          <w:rFonts w:ascii="Arial" w:hAnsi="Arial" w:cs="Arial"/>
        </w:rPr>
        <w:t>, putting</w:t>
      </w:r>
      <w:r w:rsidR="001D069B">
        <w:rPr>
          <w:rFonts w:ascii="Arial" w:hAnsi="Arial" w:cs="Arial"/>
        </w:rPr>
        <w:t xml:space="preserve"> each new comment in</w:t>
      </w:r>
      <w:r w:rsidR="009557DB">
        <w:rPr>
          <w:rFonts w:ascii="Arial" w:hAnsi="Arial" w:cs="Arial"/>
        </w:rPr>
        <w:t xml:space="preserve"> a new row. P</w:t>
      </w:r>
      <w:r w:rsidR="001D069B">
        <w:rPr>
          <w:rFonts w:ascii="Arial" w:hAnsi="Arial" w:cs="Arial"/>
        </w:rPr>
        <w:t>lease note</w:t>
      </w:r>
      <w:r>
        <w:rPr>
          <w:rFonts w:ascii="Arial" w:hAnsi="Arial" w:cs="Arial"/>
        </w:rPr>
        <w:t xml:space="preserve"> the </w:t>
      </w:r>
      <w:r w:rsidR="009557DB">
        <w:rPr>
          <w:rFonts w:ascii="Arial" w:hAnsi="Arial" w:cs="Arial"/>
        </w:rPr>
        <w:t>indicator</w:t>
      </w:r>
      <w:r w:rsidR="00C279D5">
        <w:rPr>
          <w:rFonts w:ascii="Arial" w:hAnsi="Arial" w:cs="Arial"/>
        </w:rPr>
        <w:t xml:space="preserve"> or measure</w:t>
      </w:r>
      <w:r w:rsidR="009557DB">
        <w:rPr>
          <w:rFonts w:ascii="Arial" w:hAnsi="Arial" w:cs="Arial"/>
        </w:rPr>
        <w:t xml:space="preserve"> that</w:t>
      </w:r>
      <w:r>
        <w:rPr>
          <w:rFonts w:ascii="Arial" w:hAnsi="Arial" w:cs="Arial"/>
        </w:rPr>
        <w:t xml:space="preserve"> </w:t>
      </w:r>
      <w:r w:rsidR="001D069B">
        <w:rPr>
          <w:rFonts w:ascii="Arial" w:hAnsi="Arial" w:cs="Arial"/>
        </w:rPr>
        <w:t xml:space="preserve">you are </w:t>
      </w:r>
      <w:r w:rsidR="009557DB">
        <w:rPr>
          <w:rFonts w:ascii="Arial" w:hAnsi="Arial" w:cs="Arial"/>
        </w:rPr>
        <w:t>commenting on in the</w:t>
      </w:r>
      <w:r w:rsidR="00C279D5">
        <w:rPr>
          <w:rFonts w:ascii="Arial" w:hAnsi="Arial" w:cs="Arial"/>
        </w:rPr>
        <w:t xml:space="preserve"> ‘ID’ column</w:t>
      </w:r>
      <w:r w:rsidR="00BD55E4">
        <w:rPr>
          <w:rFonts w:ascii="Arial" w:hAnsi="Arial" w:cs="Arial"/>
        </w:rPr>
        <w:t xml:space="preserve">. </w:t>
      </w:r>
    </w:p>
    <w:p w14:paraId="5D15A565" w14:textId="77777777" w:rsidR="00640E36" w:rsidRDefault="00640E36" w:rsidP="00640E36">
      <w:pPr>
        <w:rPr>
          <w:rFonts w:ascii="Arial" w:hAnsi="Arial" w:cs="Arial"/>
          <w:sz w:val="20"/>
        </w:rPr>
      </w:pPr>
    </w:p>
    <w:p w14:paraId="5D15A566" w14:textId="77777777" w:rsidR="00640E36" w:rsidRPr="00E0100E" w:rsidRDefault="00640E36" w:rsidP="00640E36">
      <w:pPr>
        <w:rPr>
          <w:rFonts w:ascii="Arial" w:hAnsi="Arial" w:cs="Arial"/>
        </w:rPr>
      </w:pPr>
      <w:r>
        <w:rPr>
          <w:rFonts w:ascii="Arial" w:hAnsi="Arial" w:cs="Arial"/>
        </w:rPr>
        <w:t xml:space="preserve">In order to guide your comments, please refer to the general points for consideration on the NICE website as well as the specific questions detailed within the </w:t>
      </w:r>
      <w:r w:rsidR="009557DB">
        <w:rPr>
          <w:rFonts w:ascii="Arial" w:hAnsi="Arial" w:cs="Arial"/>
        </w:rPr>
        <w:t>consultation paper</w:t>
      </w:r>
      <w:r>
        <w:rPr>
          <w:rFonts w:ascii="Arial" w:hAnsi="Arial" w:cs="Arial"/>
        </w:rPr>
        <w:t xml:space="preserve">. </w:t>
      </w:r>
    </w:p>
    <w:p w14:paraId="5D15A567" w14:textId="77777777" w:rsidR="00640E36" w:rsidRDefault="00640E36" w:rsidP="000C32B7">
      <w:pPr>
        <w:rPr>
          <w:rFonts w:ascii="Arial" w:hAnsi="Arial" w:cs="Arial"/>
          <w:sz w:val="20"/>
        </w:rPr>
      </w:pPr>
    </w:p>
    <w:p w14:paraId="5D15A568" w14:textId="77777777" w:rsidR="000C32B7" w:rsidRPr="00A054AF" w:rsidRDefault="000C32B7" w:rsidP="000C32B7">
      <w:pPr>
        <w:rPr>
          <w:rFonts w:ascii="Arial" w:hAnsi="Arial" w:cs="Arial"/>
          <w:sz w:val="20"/>
        </w:rPr>
      </w:pPr>
      <w:r w:rsidRPr="00A054AF">
        <w:rPr>
          <w:rFonts w:ascii="Arial" w:hAnsi="Arial" w:cs="Arial"/>
          <w:sz w:val="20"/>
        </w:rPr>
        <w:t xml:space="preserve">Please add rows as necessary. </w:t>
      </w:r>
    </w:p>
    <w:tbl>
      <w:tblPr>
        <w:tblW w:w="13879" w:type="dxa"/>
        <w:tblInd w:w="-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23"/>
        <w:gridCol w:w="11056"/>
      </w:tblGrid>
      <w:tr w:rsidR="00C279D5" w:rsidRPr="00A054AF" w14:paraId="5D15A56B" w14:textId="77777777" w:rsidTr="00C279D5">
        <w:trPr>
          <w:trHeight w:val="705"/>
          <w:tblHeader/>
        </w:trPr>
        <w:tc>
          <w:tcPr>
            <w:tcW w:w="2823" w:type="dxa"/>
            <w:shd w:val="clear" w:color="auto" w:fill="E6E6E6"/>
            <w:vAlign w:val="center"/>
          </w:tcPr>
          <w:p w14:paraId="5D15A569" w14:textId="77777777" w:rsidR="00C279D5" w:rsidRPr="00C279D5" w:rsidRDefault="00C279D5" w:rsidP="00F43A68">
            <w:pPr>
              <w:pStyle w:val="BodyText"/>
              <w:jc w:val="center"/>
              <w:rPr>
                <w:rFonts w:cs="Arial"/>
                <w:bCs w:val="0"/>
                <w:sz w:val="24"/>
                <w:szCs w:val="24"/>
              </w:rPr>
            </w:pPr>
            <w:r w:rsidRPr="00C279D5">
              <w:rPr>
                <w:rFonts w:cs="Arial"/>
                <w:bCs w:val="0"/>
                <w:sz w:val="24"/>
                <w:szCs w:val="24"/>
              </w:rPr>
              <w:t>Indicator / measure ID</w:t>
            </w:r>
          </w:p>
        </w:tc>
        <w:tc>
          <w:tcPr>
            <w:tcW w:w="11056" w:type="dxa"/>
            <w:shd w:val="clear" w:color="auto" w:fill="E6E6E6"/>
            <w:vAlign w:val="center"/>
          </w:tcPr>
          <w:p w14:paraId="5D15A56A" w14:textId="77777777" w:rsidR="00C279D5" w:rsidRPr="00C279D5" w:rsidRDefault="00C279D5" w:rsidP="00C279D5">
            <w:pPr>
              <w:pStyle w:val="Heading1"/>
              <w:rPr>
                <w:sz w:val="24"/>
                <w:szCs w:val="24"/>
              </w:rPr>
            </w:pPr>
            <w:r w:rsidRPr="00C279D5">
              <w:rPr>
                <w:sz w:val="24"/>
                <w:szCs w:val="24"/>
              </w:rPr>
              <w:t>Comments</w:t>
            </w:r>
          </w:p>
        </w:tc>
      </w:tr>
      <w:tr w:rsidR="00C279D5" w:rsidRPr="00A054AF" w14:paraId="5D15A56E" w14:textId="77777777" w:rsidTr="00C279D5">
        <w:tc>
          <w:tcPr>
            <w:tcW w:w="2823" w:type="dxa"/>
            <w:tcMar>
              <w:left w:w="57" w:type="dxa"/>
              <w:right w:w="57" w:type="dxa"/>
            </w:tcMar>
          </w:tcPr>
          <w:p w14:paraId="5D15A56C" w14:textId="77B56911" w:rsidR="00C279D5" w:rsidRPr="00E92F90" w:rsidRDefault="004D4CB5" w:rsidP="00C71640">
            <w:pPr>
              <w:rPr>
                <w:rFonts w:ascii="Arial" w:hAnsi="Arial" w:cs="Arial"/>
                <w:iCs/>
                <w:szCs w:val="22"/>
              </w:rPr>
            </w:pPr>
            <w:r>
              <w:rPr>
                <w:rFonts w:ascii="Arial" w:hAnsi="Arial" w:cs="Arial"/>
                <w:iCs/>
                <w:szCs w:val="22"/>
              </w:rPr>
              <w:t>QOF IND 1</w:t>
            </w:r>
          </w:p>
        </w:tc>
        <w:tc>
          <w:tcPr>
            <w:tcW w:w="11056" w:type="dxa"/>
            <w:tcMar>
              <w:left w:w="57" w:type="dxa"/>
              <w:right w:w="57" w:type="dxa"/>
            </w:tcMar>
          </w:tcPr>
          <w:p w14:paraId="073666D8" w14:textId="77777777" w:rsidR="00D431EE" w:rsidRPr="00995438" w:rsidRDefault="004D4CB5" w:rsidP="004D4CB5">
            <w:pPr>
              <w:rPr>
                <w:rFonts w:ascii="Arial" w:hAnsi="Arial" w:cs="Arial"/>
                <w:szCs w:val="22"/>
              </w:rPr>
            </w:pPr>
            <w:r>
              <w:rPr>
                <w:rFonts w:ascii="Arial" w:hAnsi="Arial" w:cs="Arial"/>
                <w:szCs w:val="22"/>
              </w:rPr>
              <w:t>We would support in principle the use of an overall CVD assessment rather than the current indicators, on the proviso that the components of that risk assessment are determined by the clinician. Some indicators, particularly lipids, are stable over many years and annual repetition might dissuade some patients from attending, as phlebotomy, and to a certain degree measurement of BMI, can be disliked by some patients. We would not support the decrease in age to 25</w:t>
            </w:r>
            <w:r w:rsidR="00D431EE">
              <w:rPr>
                <w:rFonts w:ascii="Arial" w:hAnsi="Arial" w:cs="Arial"/>
                <w:szCs w:val="22"/>
              </w:rPr>
              <w:t xml:space="preserve"> for annual assessment. It is important that this group receive lifestyle advise and support but the majority of them will have 10 years </w:t>
            </w:r>
            <w:r w:rsidR="00D431EE" w:rsidRPr="00995438">
              <w:rPr>
                <w:rFonts w:ascii="Arial" w:hAnsi="Arial" w:cs="Arial"/>
                <w:szCs w:val="22"/>
              </w:rPr>
              <w:t>risks well below the intervention levels and so the quantifying of this on an annual basis will not alter their management, and reduce time available for more important tasks, such as smoking or dietary advise which should be provided independently of any specific cardiovascular risk.</w:t>
            </w:r>
          </w:p>
          <w:p w14:paraId="5D15A56D" w14:textId="270DBA58" w:rsidR="00C279D5" w:rsidRPr="00335550" w:rsidRDefault="00D431EE" w:rsidP="004D4CB5">
            <w:pPr>
              <w:rPr>
                <w:rFonts w:ascii="Arial" w:hAnsi="Arial" w:cs="Arial"/>
                <w:color w:val="FF0000"/>
                <w:szCs w:val="22"/>
              </w:rPr>
            </w:pPr>
            <w:r w:rsidRPr="00995438">
              <w:rPr>
                <w:rFonts w:ascii="Arial" w:hAnsi="Arial" w:cs="Arial"/>
                <w:szCs w:val="22"/>
              </w:rPr>
              <w:t>Reducing the time available to 12 months will be counter-productive. These patients have high DNA rates and if one were to miss an annual review late in the qof year there will be no incentive to chase that patient up to ensure prompt review, as the payment will already be lost even if they come after 13 months.</w:t>
            </w:r>
            <w:r w:rsidR="00335550" w:rsidRPr="00995438">
              <w:rPr>
                <w:rFonts w:ascii="Arial" w:hAnsi="Arial" w:cs="Arial"/>
                <w:szCs w:val="22"/>
              </w:rPr>
              <w:t xml:space="preserve"> It should be noted that many severely schizophrenic patients are under the care of a consultant or are in-patients (some in secure units). Assessing CVD risk may be difficult with this group. </w:t>
            </w:r>
          </w:p>
        </w:tc>
      </w:tr>
      <w:tr w:rsidR="00C279D5" w14:paraId="5D15A571" w14:textId="77777777" w:rsidTr="00C279D5">
        <w:tc>
          <w:tcPr>
            <w:tcW w:w="2823" w:type="dxa"/>
            <w:tcMar>
              <w:left w:w="57" w:type="dxa"/>
              <w:right w:w="57" w:type="dxa"/>
            </w:tcMar>
          </w:tcPr>
          <w:p w14:paraId="5D15A56F" w14:textId="1A12E175" w:rsidR="00C279D5" w:rsidRPr="00117F57" w:rsidRDefault="00D431EE" w:rsidP="00F43A68">
            <w:pPr>
              <w:rPr>
                <w:rFonts w:ascii="Arial" w:hAnsi="Arial" w:cs="Arial"/>
                <w:iCs/>
                <w:szCs w:val="22"/>
              </w:rPr>
            </w:pPr>
            <w:r w:rsidRPr="00117F57">
              <w:rPr>
                <w:rFonts w:ascii="Arial" w:hAnsi="Arial" w:cs="Arial"/>
                <w:iCs/>
                <w:szCs w:val="22"/>
              </w:rPr>
              <w:t>QOF IND 2</w:t>
            </w:r>
          </w:p>
        </w:tc>
        <w:tc>
          <w:tcPr>
            <w:tcW w:w="11056" w:type="dxa"/>
            <w:tcMar>
              <w:left w:w="57" w:type="dxa"/>
              <w:right w:w="57" w:type="dxa"/>
            </w:tcMar>
          </w:tcPr>
          <w:p w14:paraId="0CF96075" w14:textId="77777777" w:rsidR="00D431EE" w:rsidRDefault="00D431EE" w:rsidP="00F43A68">
            <w:pPr>
              <w:rPr>
                <w:rFonts w:ascii="Arial" w:hAnsi="Arial" w:cs="Arial"/>
                <w:szCs w:val="22"/>
              </w:rPr>
            </w:pPr>
            <w:r>
              <w:rPr>
                <w:rFonts w:ascii="Arial" w:hAnsi="Arial" w:cs="Arial"/>
                <w:szCs w:val="22"/>
              </w:rPr>
              <w:t>We do not support this indicator, as we do not believe the annual recording of BMI will result in a reduction in the BMI of those patients, and would request that evidence be produced that this activity, within a general practice setting, alters outcomes.</w:t>
            </w:r>
          </w:p>
          <w:p w14:paraId="351DC0F7" w14:textId="77777777" w:rsidR="00EB3D6C" w:rsidRDefault="00D431EE" w:rsidP="00F43A68">
            <w:pPr>
              <w:rPr>
                <w:rFonts w:ascii="Arial" w:hAnsi="Arial" w:cs="Arial"/>
                <w:szCs w:val="22"/>
              </w:rPr>
            </w:pPr>
            <w:r>
              <w:rPr>
                <w:rFonts w:ascii="Arial" w:hAnsi="Arial" w:cs="Arial"/>
                <w:szCs w:val="22"/>
              </w:rPr>
              <w:t xml:space="preserve">The list will select far too many patients </w:t>
            </w:r>
            <w:r w:rsidR="00EB3D6C">
              <w:rPr>
                <w:rFonts w:ascii="Arial" w:hAnsi="Arial" w:cs="Arial"/>
                <w:szCs w:val="22"/>
              </w:rPr>
              <w:t xml:space="preserve">for whom obesity is no more a problem than for the general population, particularly young patients with mild asthma or patients with localised osteoarthritis of </w:t>
            </w:r>
            <w:r w:rsidR="00EB3D6C">
              <w:rPr>
                <w:rFonts w:ascii="Arial" w:hAnsi="Arial" w:cs="Arial"/>
                <w:szCs w:val="22"/>
              </w:rPr>
              <w:lastRenderedPageBreak/>
              <w:t xml:space="preserve">upper limb joints, such as the thumb (a very common site for OA). </w:t>
            </w:r>
          </w:p>
          <w:p w14:paraId="6AB997BC" w14:textId="5437E280" w:rsidR="00EB3D6C" w:rsidRDefault="00EB3D6C" w:rsidP="00F43A68">
            <w:pPr>
              <w:rPr>
                <w:rFonts w:ascii="Arial" w:hAnsi="Arial" w:cs="Arial"/>
                <w:szCs w:val="22"/>
              </w:rPr>
            </w:pPr>
            <w:r>
              <w:rPr>
                <w:rFonts w:ascii="Arial" w:hAnsi="Arial" w:cs="Arial"/>
                <w:szCs w:val="22"/>
              </w:rPr>
              <w:t xml:space="preserve">Many patients dislike regular BMI checks and this may dissuade some from attending annual </w:t>
            </w:r>
            <w:r w:rsidR="007111B0">
              <w:rPr>
                <w:rFonts w:ascii="Arial" w:hAnsi="Arial" w:cs="Arial"/>
                <w:szCs w:val="22"/>
              </w:rPr>
              <w:t>review.</w:t>
            </w:r>
          </w:p>
          <w:p w14:paraId="6A3C40BD" w14:textId="77777777" w:rsidR="00EB3D6C" w:rsidRDefault="00EB3D6C" w:rsidP="00F43A68">
            <w:pPr>
              <w:rPr>
                <w:rFonts w:ascii="Arial" w:hAnsi="Arial" w:cs="Arial"/>
                <w:szCs w:val="22"/>
              </w:rPr>
            </w:pPr>
            <w:r>
              <w:rPr>
                <w:rFonts w:ascii="Arial" w:hAnsi="Arial" w:cs="Arial"/>
                <w:szCs w:val="22"/>
              </w:rPr>
              <w:t>The collecting of this data will impact on other useful activities during review consultations. Even if it only takes 1 minute to do this represents 10% of a normal GP consultation and a larger proportion of the time available within that consultation for clinical work, and so will divert time away from problems that the patient may wish addressed.</w:t>
            </w:r>
          </w:p>
          <w:p w14:paraId="5D15A570" w14:textId="268BFA6C" w:rsidR="00C279D5" w:rsidRPr="00EB3D6C" w:rsidRDefault="00EB3D6C" w:rsidP="00EB3D6C">
            <w:pPr>
              <w:rPr>
                <w:rFonts w:ascii="Arial" w:hAnsi="Arial" w:cs="Arial"/>
                <w:szCs w:val="22"/>
              </w:rPr>
            </w:pPr>
            <w:r>
              <w:rPr>
                <w:rFonts w:ascii="Arial" w:hAnsi="Arial" w:cs="Arial"/>
                <w:szCs w:val="22"/>
              </w:rPr>
              <w:t>The time available for a review should be 15 months not 12. If a patient were to miss an annual review late in the qof year there will be no incentive to chase that patient up to ensure prompt review, as the payment will already be lost even if they come after 13 months.</w:t>
            </w:r>
          </w:p>
        </w:tc>
      </w:tr>
      <w:tr w:rsidR="00C279D5" w14:paraId="5D15A574" w14:textId="77777777" w:rsidTr="00C279D5">
        <w:tc>
          <w:tcPr>
            <w:tcW w:w="2823" w:type="dxa"/>
            <w:tcMar>
              <w:left w:w="57" w:type="dxa"/>
              <w:right w:w="57" w:type="dxa"/>
            </w:tcMar>
          </w:tcPr>
          <w:p w14:paraId="5D15A572" w14:textId="71323A4F" w:rsidR="00C279D5" w:rsidRPr="00117F57" w:rsidRDefault="00EB3D6C" w:rsidP="00F43A68">
            <w:pPr>
              <w:rPr>
                <w:rFonts w:ascii="Arial" w:hAnsi="Arial" w:cs="Arial"/>
                <w:iCs/>
                <w:szCs w:val="22"/>
              </w:rPr>
            </w:pPr>
            <w:r w:rsidRPr="00117F57">
              <w:rPr>
                <w:rFonts w:ascii="Arial" w:hAnsi="Arial" w:cs="Arial"/>
                <w:iCs/>
                <w:szCs w:val="22"/>
              </w:rPr>
              <w:lastRenderedPageBreak/>
              <w:t>QOF IND 4</w:t>
            </w:r>
          </w:p>
        </w:tc>
        <w:tc>
          <w:tcPr>
            <w:tcW w:w="11056" w:type="dxa"/>
            <w:tcMar>
              <w:left w:w="57" w:type="dxa"/>
              <w:right w:w="57" w:type="dxa"/>
            </w:tcMar>
          </w:tcPr>
          <w:p w14:paraId="5D15A573" w14:textId="4038DCAF" w:rsidR="00C279D5" w:rsidRPr="005F272C" w:rsidRDefault="005F272C" w:rsidP="005F272C">
            <w:pPr>
              <w:rPr>
                <w:rFonts w:ascii="Arial" w:hAnsi="Arial" w:cs="Arial"/>
                <w:szCs w:val="22"/>
              </w:rPr>
            </w:pPr>
            <w:r w:rsidRPr="005F272C">
              <w:rPr>
                <w:rFonts w:ascii="Arial" w:hAnsi="Arial" w:cs="Arial"/>
                <w:szCs w:val="22"/>
              </w:rPr>
              <w:t xml:space="preserve"> ‘H</w:t>
            </w:r>
            <w:r w:rsidR="00B24AA5" w:rsidRPr="005F272C">
              <w:rPr>
                <w:rFonts w:ascii="Arial" w:hAnsi="Arial" w:cs="Arial"/>
                <w:szCs w:val="22"/>
              </w:rPr>
              <w:t>ousebound’ should be defined as ‘</w:t>
            </w:r>
            <w:r w:rsidR="00B24AA5" w:rsidRPr="005F272C">
              <w:rPr>
                <w:rFonts w:ascii="Arial" w:hAnsi="Arial" w:cs="Arial"/>
              </w:rPr>
              <w:t xml:space="preserve">The sustained inability </w:t>
            </w:r>
            <w:r w:rsidR="007111B0">
              <w:rPr>
                <w:rFonts w:ascii="Arial" w:hAnsi="Arial" w:cs="Arial"/>
              </w:rPr>
              <w:t xml:space="preserve">as assessed by the GP </w:t>
            </w:r>
            <w:r w:rsidR="00B24AA5" w:rsidRPr="005F272C">
              <w:rPr>
                <w:rFonts w:ascii="Arial" w:hAnsi="Arial" w:cs="Arial"/>
              </w:rPr>
              <w:t>to get from their place of residence into a motor vehicle despite the provision of suitable walking aids or the use of a wheelchair, and the assistance of one other person’</w:t>
            </w:r>
          </w:p>
        </w:tc>
      </w:tr>
      <w:tr w:rsidR="00C279D5" w14:paraId="5D15A577" w14:textId="77777777" w:rsidTr="00C279D5">
        <w:tc>
          <w:tcPr>
            <w:tcW w:w="2823" w:type="dxa"/>
            <w:tcMar>
              <w:left w:w="57" w:type="dxa"/>
              <w:right w:w="57" w:type="dxa"/>
            </w:tcMar>
          </w:tcPr>
          <w:p w14:paraId="5D15A575" w14:textId="51D8512C" w:rsidR="00C279D5" w:rsidRPr="00117F57" w:rsidRDefault="005F272C" w:rsidP="00F43A68">
            <w:pPr>
              <w:rPr>
                <w:rFonts w:ascii="Arial" w:hAnsi="Arial" w:cs="Arial"/>
                <w:iCs/>
                <w:szCs w:val="22"/>
              </w:rPr>
            </w:pPr>
            <w:r w:rsidRPr="00117F57">
              <w:rPr>
                <w:rFonts w:ascii="Arial" w:hAnsi="Arial" w:cs="Arial"/>
                <w:iCs/>
                <w:szCs w:val="22"/>
              </w:rPr>
              <w:t>QOF IND 5</w:t>
            </w:r>
          </w:p>
        </w:tc>
        <w:tc>
          <w:tcPr>
            <w:tcW w:w="11056" w:type="dxa"/>
            <w:tcMar>
              <w:left w:w="57" w:type="dxa"/>
              <w:right w:w="57" w:type="dxa"/>
            </w:tcMar>
          </w:tcPr>
          <w:p w14:paraId="0233F7D6" w14:textId="043B7DA8" w:rsidR="005F272C" w:rsidRDefault="005F272C" w:rsidP="00F43A68">
            <w:pPr>
              <w:rPr>
                <w:rFonts w:ascii="Arial" w:hAnsi="Arial" w:cs="Arial"/>
                <w:szCs w:val="22"/>
              </w:rPr>
            </w:pPr>
            <w:r w:rsidRPr="005F272C">
              <w:rPr>
                <w:rFonts w:ascii="Arial" w:hAnsi="Arial" w:cs="Arial"/>
                <w:szCs w:val="22"/>
              </w:rPr>
              <w:t xml:space="preserve">We would support this in principle </w:t>
            </w:r>
            <w:r>
              <w:rPr>
                <w:rFonts w:ascii="Arial" w:hAnsi="Arial" w:cs="Arial"/>
                <w:szCs w:val="22"/>
              </w:rPr>
              <w:t>however the requirement for the review to be face to face is not beneficial.</w:t>
            </w:r>
            <w:r w:rsidR="00335550">
              <w:rPr>
                <w:rFonts w:ascii="Arial" w:hAnsi="Arial" w:cs="Arial"/>
                <w:szCs w:val="22"/>
              </w:rPr>
              <w:t xml:space="preserve"> </w:t>
            </w:r>
            <w:r>
              <w:rPr>
                <w:rFonts w:ascii="Arial" w:hAnsi="Arial" w:cs="Arial"/>
                <w:szCs w:val="22"/>
              </w:rPr>
              <w:t xml:space="preserve">Some enhanced services are already commissioned for these patients where the model is for a pharmacist to review the medication based on the findings gathered by clinicians previously and experience has shown this to be an effective procedure. </w:t>
            </w:r>
          </w:p>
          <w:p w14:paraId="5D15A576" w14:textId="53E72B1E" w:rsidR="00C279D5" w:rsidRPr="005F272C" w:rsidRDefault="005F272C" w:rsidP="00F43A68">
            <w:pPr>
              <w:rPr>
                <w:rFonts w:ascii="Arial" w:hAnsi="Arial" w:cs="Arial"/>
                <w:szCs w:val="22"/>
              </w:rPr>
            </w:pPr>
            <w:r>
              <w:rPr>
                <w:rFonts w:ascii="Arial" w:hAnsi="Arial" w:cs="Arial"/>
                <w:szCs w:val="22"/>
              </w:rPr>
              <w:t>Although it is counter-intuitive, a technical task which can be time-consuming, such as a medication review where many drugs are prescribed, and much monitoring or interactions need to be considered, is often best done without the ‘pressure’ of a patient actually in the room.</w:t>
            </w:r>
          </w:p>
        </w:tc>
      </w:tr>
      <w:tr w:rsidR="00C279D5" w14:paraId="5D15A57A" w14:textId="77777777" w:rsidTr="00C279D5">
        <w:tc>
          <w:tcPr>
            <w:tcW w:w="2823" w:type="dxa"/>
            <w:tcMar>
              <w:left w:w="57" w:type="dxa"/>
              <w:right w:w="57" w:type="dxa"/>
            </w:tcMar>
          </w:tcPr>
          <w:p w14:paraId="5D15A578" w14:textId="3361873A" w:rsidR="00C279D5" w:rsidRPr="00117F57" w:rsidRDefault="005F272C" w:rsidP="00F43A68">
            <w:pPr>
              <w:rPr>
                <w:rFonts w:ascii="Arial" w:hAnsi="Arial" w:cs="Arial"/>
                <w:iCs/>
                <w:szCs w:val="22"/>
              </w:rPr>
            </w:pPr>
            <w:r w:rsidRPr="00117F57">
              <w:rPr>
                <w:rFonts w:ascii="Arial" w:hAnsi="Arial" w:cs="Arial"/>
                <w:iCs/>
                <w:szCs w:val="22"/>
              </w:rPr>
              <w:t>QOG IND 6</w:t>
            </w:r>
          </w:p>
        </w:tc>
        <w:tc>
          <w:tcPr>
            <w:tcW w:w="11056" w:type="dxa"/>
            <w:tcMar>
              <w:left w:w="57" w:type="dxa"/>
              <w:right w:w="57" w:type="dxa"/>
            </w:tcMar>
          </w:tcPr>
          <w:p w14:paraId="3B828B03" w14:textId="77777777" w:rsidR="005F272C" w:rsidRDefault="005F272C" w:rsidP="00F43A68">
            <w:pPr>
              <w:rPr>
                <w:rFonts w:ascii="Arial" w:hAnsi="Arial" w:cs="Arial"/>
                <w:szCs w:val="22"/>
              </w:rPr>
            </w:pPr>
            <w:r>
              <w:rPr>
                <w:rFonts w:ascii="Arial" w:hAnsi="Arial" w:cs="Arial"/>
                <w:szCs w:val="22"/>
              </w:rPr>
              <w:t xml:space="preserve">This cannot be supported. </w:t>
            </w:r>
          </w:p>
          <w:p w14:paraId="185B438C" w14:textId="77777777" w:rsidR="00985647" w:rsidRDefault="005F272C" w:rsidP="00F43A68">
            <w:pPr>
              <w:rPr>
                <w:rFonts w:ascii="Arial" w:hAnsi="Arial" w:cs="Arial"/>
                <w:szCs w:val="22"/>
              </w:rPr>
            </w:pPr>
            <w:r>
              <w:rPr>
                <w:rFonts w:ascii="Arial" w:hAnsi="Arial" w:cs="Arial"/>
                <w:szCs w:val="22"/>
              </w:rPr>
              <w:t>Many patients with depression are perfectly adequately cared for in general practice without referral. If this were to be introduced the numbers of referrals to psychological services would increase and there is no evidence of current over-capacity in those services. The result will be increasing delays in assessment, reduced quality of care for those who are seen, and an overall reduction in care for this group of patients</w:t>
            </w:r>
            <w:r w:rsidR="00985647">
              <w:rPr>
                <w:rFonts w:ascii="Arial" w:hAnsi="Arial" w:cs="Arial"/>
                <w:szCs w:val="22"/>
              </w:rPr>
              <w:t>.</w:t>
            </w:r>
          </w:p>
          <w:p w14:paraId="403075A0" w14:textId="3A44E746" w:rsidR="00985647" w:rsidRDefault="00985647" w:rsidP="00F43A68">
            <w:pPr>
              <w:rPr>
                <w:rFonts w:ascii="Arial" w:hAnsi="Arial" w:cs="Arial"/>
                <w:szCs w:val="22"/>
              </w:rPr>
            </w:pPr>
            <w:r>
              <w:rPr>
                <w:rFonts w:ascii="Arial" w:hAnsi="Arial" w:cs="Arial"/>
                <w:szCs w:val="22"/>
              </w:rPr>
              <w:t xml:space="preserve">GPs must retain the ability to refer on to other </w:t>
            </w:r>
            <w:r w:rsidR="005869E0">
              <w:rPr>
                <w:rFonts w:ascii="Arial" w:hAnsi="Arial" w:cs="Arial"/>
                <w:szCs w:val="22"/>
              </w:rPr>
              <w:t>agencies only those patients wh</w:t>
            </w:r>
            <w:r>
              <w:rPr>
                <w:rFonts w:ascii="Arial" w:hAnsi="Arial" w:cs="Arial"/>
                <w:szCs w:val="22"/>
              </w:rPr>
              <w:t xml:space="preserve">o will personally benefit, and with an awareness of the impact of the referral on the care that can be offered to other patients in </w:t>
            </w:r>
            <w:r>
              <w:rPr>
                <w:rFonts w:ascii="Arial" w:hAnsi="Arial" w:cs="Arial"/>
                <w:szCs w:val="22"/>
              </w:rPr>
              <w:lastRenderedPageBreak/>
              <w:t>the system.</w:t>
            </w:r>
          </w:p>
          <w:p w14:paraId="28BB4F7C" w14:textId="77777777" w:rsidR="00985647" w:rsidRDefault="00985647" w:rsidP="00F43A68">
            <w:pPr>
              <w:rPr>
                <w:rFonts w:ascii="Arial" w:hAnsi="Arial" w:cs="Arial"/>
                <w:szCs w:val="22"/>
              </w:rPr>
            </w:pPr>
            <w:r>
              <w:rPr>
                <w:rFonts w:ascii="Arial" w:hAnsi="Arial" w:cs="Arial"/>
                <w:szCs w:val="22"/>
              </w:rPr>
              <w:t>In order to avoid the more serious adverse effect of this proposal, GPs will probably avoid using the depression code for any patient who they feel should not be referred, and this may have other implications for the planning of mental health services.</w:t>
            </w:r>
          </w:p>
          <w:p w14:paraId="3716DCC5" w14:textId="77777777" w:rsidR="00985647" w:rsidRDefault="00985647" w:rsidP="00F43A68">
            <w:pPr>
              <w:rPr>
                <w:rFonts w:ascii="Arial" w:hAnsi="Arial" w:cs="Arial"/>
                <w:szCs w:val="22"/>
              </w:rPr>
            </w:pPr>
            <w:r>
              <w:rPr>
                <w:rFonts w:ascii="Arial" w:hAnsi="Arial" w:cs="Arial"/>
                <w:szCs w:val="22"/>
              </w:rPr>
              <w:t>This indicator will not measure the stated aim of the last paragraph of the indicator rationale.</w:t>
            </w:r>
          </w:p>
          <w:p w14:paraId="5D15A579" w14:textId="01A1D5E9" w:rsidR="00C279D5" w:rsidRPr="005F272C" w:rsidRDefault="00985647" w:rsidP="00985647">
            <w:pPr>
              <w:rPr>
                <w:rFonts w:ascii="Arial" w:hAnsi="Arial" w:cs="Arial"/>
                <w:szCs w:val="22"/>
              </w:rPr>
            </w:pPr>
            <w:r>
              <w:rPr>
                <w:rFonts w:ascii="Arial" w:hAnsi="Arial" w:cs="Arial"/>
                <w:szCs w:val="22"/>
              </w:rPr>
              <w:t>Anxiety and depression may coexist but this is not always the case, and so separate indicators are appropriate.</w:t>
            </w:r>
          </w:p>
        </w:tc>
      </w:tr>
      <w:tr w:rsidR="00C279D5" w14:paraId="5D15A57D" w14:textId="77777777" w:rsidTr="00C279D5">
        <w:tc>
          <w:tcPr>
            <w:tcW w:w="2823" w:type="dxa"/>
            <w:tcMar>
              <w:left w:w="57" w:type="dxa"/>
              <w:right w:w="57" w:type="dxa"/>
            </w:tcMar>
          </w:tcPr>
          <w:p w14:paraId="5D15A57B" w14:textId="5DFD83DE" w:rsidR="00C279D5" w:rsidRPr="00117F57" w:rsidRDefault="00117F57" w:rsidP="00F43A68">
            <w:pPr>
              <w:rPr>
                <w:rFonts w:ascii="Arial" w:hAnsi="Arial" w:cs="Arial"/>
                <w:iCs/>
                <w:szCs w:val="22"/>
              </w:rPr>
            </w:pPr>
            <w:r w:rsidRPr="00117F57">
              <w:rPr>
                <w:rFonts w:ascii="Arial" w:hAnsi="Arial" w:cs="Arial"/>
                <w:iCs/>
                <w:szCs w:val="22"/>
              </w:rPr>
              <w:lastRenderedPageBreak/>
              <w:t>QOF IND 7</w:t>
            </w:r>
          </w:p>
        </w:tc>
        <w:tc>
          <w:tcPr>
            <w:tcW w:w="11056" w:type="dxa"/>
            <w:tcMar>
              <w:left w:w="57" w:type="dxa"/>
              <w:right w:w="57" w:type="dxa"/>
            </w:tcMar>
          </w:tcPr>
          <w:p w14:paraId="40D1FCA2" w14:textId="77777777" w:rsidR="005869E0" w:rsidRDefault="005869E0" w:rsidP="005869E0">
            <w:pPr>
              <w:rPr>
                <w:rFonts w:ascii="Arial" w:hAnsi="Arial" w:cs="Arial"/>
                <w:szCs w:val="22"/>
              </w:rPr>
            </w:pPr>
            <w:r>
              <w:rPr>
                <w:rFonts w:ascii="Arial" w:hAnsi="Arial" w:cs="Arial"/>
                <w:szCs w:val="22"/>
              </w:rPr>
              <w:t xml:space="preserve">This cannot be supported. </w:t>
            </w:r>
          </w:p>
          <w:p w14:paraId="52D5A353" w14:textId="2AE4FF41" w:rsidR="005869E0" w:rsidRDefault="005869E0" w:rsidP="005869E0">
            <w:pPr>
              <w:rPr>
                <w:rFonts w:ascii="Arial" w:hAnsi="Arial" w:cs="Arial"/>
                <w:szCs w:val="22"/>
              </w:rPr>
            </w:pPr>
            <w:r>
              <w:rPr>
                <w:rFonts w:ascii="Arial" w:hAnsi="Arial" w:cs="Arial"/>
                <w:szCs w:val="22"/>
              </w:rPr>
              <w:t>Many patients with anxiety are perfectly adequately cared for in general practice without referral. If this were to be introduced the numbers of referrals to psychological services would increase and there is no evidence of current over-capacity in those services. The result will be increasing delays in assessment, reduced quality of care for those who are seen, and an overall reduction in care for this group of patients.</w:t>
            </w:r>
          </w:p>
          <w:p w14:paraId="68E78423" w14:textId="2E213A01" w:rsidR="005869E0" w:rsidRDefault="005869E0" w:rsidP="005869E0">
            <w:pPr>
              <w:rPr>
                <w:rFonts w:ascii="Arial" w:hAnsi="Arial" w:cs="Arial"/>
                <w:szCs w:val="22"/>
              </w:rPr>
            </w:pPr>
            <w:r>
              <w:rPr>
                <w:rFonts w:ascii="Arial" w:hAnsi="Arial" w:cs="Arial"/>
                <w:szCs w:val="22"/>
              </w:rPr>
              <w:t>GPs must retain the ability to refer on to other agencies only those patients who will personally benefit, and with an awareness of the impact of the referral on the care that can be offered to other patients in the system.</w:t>
            </w:r>
          </w:p>
          <w:p w14:paraId="14C51C84" w14:textId="3C501EA6" w:rsidR="005869E0" w:rsidRDefault="005869E0" w:rsidP="005869E0">
            <w:pPr>
              <w:rPr>
                <w:rFonts w:ascii="Arial" w:hAnsi="Arial" w:cs="Arial"/>
                <w:szCs w:val="22"/>
              </w:rPr>
            </w:pPr>
            <w:r>
              <w:rPr>
                <w:rFonts w:ascii="Arial" w:hAnsi="Arial" w:cs="Arial"/>
                <w:szCs w:val="22"/>
              </w:rPr>
              <w:t>In order to avoid the more serious adverse effect of this proposal, GPs will probably avoid using an anxiety code for any patient who they feel should not be referred, and this may have other implications for the planning of mental health services.</w:t>
            </w:r>
          </w:p>
          <w:p w14:paraId="68E3B9B6" w14:textId="77777777" w:rsidR="005869E0" w:rsidRDefault="005869E0" w:rsidP="005869E0">
            <w:pPr>
              <w:rPr>
                <w:rFonts w:ascii="Arial" w:hAnsi="Arial" w:cs="Arial"/>
                <w:szCs w:val="22"/>
              </w:rPr>
            </w:pPr>
            <w:r>
              <w:rPr>
                <w:rFonts w:ascii="Arial" w:hAnsi="Arial" w:cs="Arial"/>
                <w:szCs w:val="22"/>
              </w:rPr>
              <w:t>This indicator will not measure the stated aim of the last paragraph of the indicator rationale.</w:t>
            </w:r>
          </w:p>
          <w:p w14:paraId="5D15A57C" w14:textId="03585915" w:rsidR="00C279D5" w:rsidRPr="005F272C" w:rsidRDefault="005869E0" w:rsidP="005869E0">
            <w:pPr>
              <w:rPr>
                <w:rFonts w:ascii="Arial" w:hAnsi="Arial" w:cs="Arial"/>
                <w:szCs w:val="22"/>
              </w:rPr>
            </w:pPr>
            <w:r>
              <w:rPr>
                <w:rFonts w:ascii="Arial" w:hAnsi="Arial" w:cs="Arial"/>
                <w:szCs w:val="22"/>
              </w:rPr>
              <w:t>Anxiety and depression may coexist but this is not always the case, and so separate indicators are appropriate.</w:t>
            </w:r>
          </w:p>
        </w:tc>
      </w:tr>
      <w:tr w:rsidR="00C279D5" w14:paraId="5D15A580" w14:textId="77777777" w:rsidTr="00C279D5">
        <w:tc>
          <w:tcPr>
            <w:tcW w:w="2823" w:type="dxa"/>
            <w:tcMar>
              <w:left w:w="57" w:type="dxa"/>
              <w:right w:w="57" w:type="dxa"/>
            </w:tcMar>
          </w:tcPr>
          <w:p w14:paraId="5D15A57E" w14:textId="6F55B775" w:rsidR="00C279D5" w:rsidRPr="00117F57" w:rsidRDefault="005869E0" w:rsidP="00F43A68">
            <w:pPr>
              <w:rPr>
                <w:rFonts w:ascii="Arial" w:hAnsi="Arial" w:cs="Arial"/>
                <w:iCs/>
                <w:szCs w:val="22"/>
              </w:rPr>
            </w:pPr>
            <w:r w:rsidRPr="00117F57">
              <w:rPr>
                <w:rFonts w:ascii="Arial" w:hAnsi="Arial" w:cs="Arial"/>
                <w:iCs/>
                <w:szCs w:val="22"/>
              </w:rPr>
              <w:t>QOF IND 8</w:t>
            </w:r>
          </w:p>
        </w:tc>
        <w:tc>
          <w:tcPr>
            <w:tcW w:w="11056" w:type="dxa"/>
            <w:tcMar>
              <w:left w:w="57" w:type="dxa"/>
              <w:right w:w="57" w:type="dxa"/>
            </w:tcMar>
          </w:tcPr>
          <w:p w14:paraId="1681A89B" w14:textId="3564D16C" w:rsidR="009F4D06" w:rsidRDefault="005869E0" w:rsidP="009F4D06">
            <w:pPr>
              <w:rPr>
                <w:rFonts w:ascii="Arial" w:hAnsi="Arial" w:cs="Arial"/>
                <w:szCs w:val="22"/>
              </w:rPr>
            </w:pPr>
            <w:r>
              <w:rPr>
                <w:rFonts w:ascii="Arial" w:hAnsi="Arial" w:cs="Arial"/>
                <w:szCs w:val="22"/>
              </w:rPr>
              <w:t xml:space="preserve">This indicator can be supported if the requirement for the assessment to be face-to-face is removed. The important feature is that the assessment should be done, and the patient involved in the decision making that results, these two events need not be simultaneous. </w:t>
            </w:r>
            <w:r w:rsidR="009F4D06">
              <w:rPr>
                <w:rFonts w:ascii="Arial" w:hAnsi="Arial" w:cs="Arial"/>
                <w:szCs w:val="22"/>
              </w:rPr>
              <w:t xml:space="preserve">Many GPs deal with administrative tasks such as </w:t>
            </w:r>
            <w:r w:rsidR="009A01B9">
              <w:rPr>
                <w:rFonts w:ascii="Arial" w:hAnsi="Arial" w:cs="Arial"/>
                <w:szCs w:val="22"/>
              </w:rPr>
              <w:t>reviewing test results</w:t>
            </w:r>
            <w:r w:rsidR="009F4D06">
              <w:rPr>
                <w:rFonts w:ascii="Arial" w:hAnsi="Arial" w:cs="Arial"/>
                <w:szCs w:val="22"/>
              </w:rPr>
              <w:t xml:space="preserve"> in the early </w:t>
            </w:r>
            <w:r w:rsidR="009A01B9">
              <w:rPr>
                <w:rFonts w:ascii="Arial" w:hAnsi="Arial" w:cs="Arial"/>
                <w:szCs w:val="22"/>
              </w:rPr>
              <w:t>morning</w:t>
            </w:r>
            <w:r w:rsidR="009F4D06">
              <w:rPr>
                <w:rFonts w:ascii="Arial" w:hAnsi="Arial" w:cs="Arial"/>
                <w:szCs w:val="22"/>
              </w:rPr>
              <w:t xml:space="preserve"> </w:t>
            </w:r>
            <w:r w:rsidR="009A01B9">
              <w:rPr>
                <w:rFonts w:ascii="Arial" w:hAnsi="Arial" w:cs="Arial"/>
                <w:szCs w:val="22"/>
              </w:rPr>
              <w:t xml:space="preserve">or </w:t>
            </w:r>
            <w:r w:rsidR="009F4D06">
              <w:rPr>
                <w:rFonts w:ascii="Arial" w:hAnsi="Arial" w:cs="Arial"/>
                <w:szCs w:val="22"/>
              </w:rPr>
              <w:t>late at night when the presence of the patient is impractical.</w:t>
            </w:r>
          </w:p>
          <w:p w14:paraId="5D15A57F" w14:textId="2482FAF2" w:rsidR="00C279D5" w:rsidRPr="005F272C" w:rsidRDefault="009F4D06" w:rsidP="009F4D06">
            <w:pPr>
              <w:rPr>
                <w:rFonts w:ascii="Arial" w:hAnsi="Arial" w:cs="Arial"/>
                <w:szCs w:val="22"/>
              </w:rPr>
            </w:pPr>
            <w:r>
              <w:rPr>
                <w:rFonts w:ascii="Arial" w:hAnsi="Arial" w:cs="Arial"/>
                <w:szCs w:val="22"/>
              </w:rPr>
              <w:t>Prioritisation of those with hypertension or diabetes can be supported.</w:t>
            </w:r>
          </w:p>
        </w:tc>
      </w:tr>
      <w:tr w:rsidR="00C279D5" w14:paraId="5D15A583" w14:textId="77777777" w:rsidTr="00C279D5">
        <w:tc>
          <w:tcPr>
            <w:tcW w:w="2823" w:type="dxa"/>
            <w:tcMar>
              <w:left w:w="57" w:type="dxa"/>
              <w:right w:w="57" w:type="dxa"/>
            </w:tcMar>
          </w:tcPr>
          <w:p w14:paraId="5D15A581" w14:textId="29FB6A5B" w:rsidR="00C279D5" w:rsidRPr="00117F57" w:rsidRDefault="009F4D06" w:rsidP="00F43A68">
            <w:pPr>
              <w:rPr>
                <w:rFonts w:ascii="Arial" w:hAnsi="Arial" w:cs="Arial"/>
                <w:iCs/>
                <w:szCs w:val="22"/>
              </w:rPr>
            </w:pPr>
            <w:r w:rsidRPr="00117F57">
              <w:rPr>
                <w:rFonts w:ascii="Arial" w:hAnsi="Arial" w:cs="Arial"/>
                <w:iCs/>
                <w:szCs w:val="22"/>
              </w:rPr>
              <w:t>QOF IND 9</w:t>
            </w:r>
          </w:p>
        </w:tc>
        <w:tc>
          <w:tcPr>
            <w:tcW w:w="11056" w:type="dxa"/>
            <w:tcMar>
              <w:left w:w="57" w:type="dxa"/>
              <w:right w:w="57" w:type="dxa"/>
            </w:tcMar>
          </w:tcPr>
          <w:p w14:paraId="4BDF9B85" w14:textId="7D06A6FA" w:rsidR="009F4D06" w:rsidRDefault="009F4D06" w:rsidP="009F4D06">
            <w:pPr>
              <w:rPr>
                <w:rFonts w:ascii="Arial" w:hAnsi="Arial" w:cs="Arial"/>
                <w:szCs w:val="22"/>
              </w:rPr>
            </w:pPr>
            <w:r>
              <w:rPr>
                <w:rFonts w:ascii="Arial" w:hAnsi="Arial" w:cs="Arial"/>
                <w:szCs w:val="22"/>
              </w:rPr>
              <w:t>This indicator can be supported if the requirement for the assessment to be face-to-face is removed. The important feature is that the assessment should be done, and the patient involved in the decision making that results, these two events need not be simultaneous. Many GPs deal with administrative tasks such as these in the early morning,</w:t>
            </w:r>
            <w:r w:rsidR="009A01B9">
              <w:rPr>
                <w:rFonts w:ascii="Arial" w:hAnsi="Arial" w:cs="Arial"/>
                <w:szCs w:val="22"/>
              </w:rPr>
              <w:t xml:space="preserve"> or</w:t>
            </w:r>
            <w:r>
              <w:rPr>
                <w:rFonts w:ascii="Arial" w:hAnsi="Arial" w:cs="Arial"/>
                <w:szCs w:val="22"/>
              </w:rPr>
              <w:t xml:space="preserve"> late at night when the presence of the patient is impractical.</w:t>
            </w:r>
          </w:p>
          <w:p w14:paraId="5D15A582" w14:textId="5C5E264A" w:rsidR="00C279D5" w:rsidRPr="005F272C" w:rsidRDefault="009F4D06" w:rsidP="009F4D06">
            <w:pPr>
              <w:rPr>
                <w:rFonts w:ascii="Arial" w:hAnsi="Arial" w:cs="Arial"/>
                <w:iCs/>
                <w:szCs w:val="22"/>
              </w:rPr>
            </w:pPr>
            <w:r>
              <w:rPr>
                <w:rFonts w:ascii="Arial" w:hAnsi="Arial" w:cs="Arial"/>
                <w:szCs w:val="22"/>
              </w:rPr>
              <w:t>Prioritisation of those with hypertension or diabetes can be supported.</w:t>
            </w:r>
          </w:p>
        </w:tc>
      </w:tr>
      <w:tr w:rsidR="00C279D5" w14:paraId="5D15A586" w14:textId="77777777" w:rsidTr="00C279D5">
        <w:tc>
          <w:tcPr>
            <w:tcW w:w="2823" w:type="dxa"/>
            <w:tcMar>
              <w:left w:w="57" w:type="dxa"/>
              <w:right w:w="57" w:type="dxa"/>
            </w:tcMar>
          </w:tcPr>
          <w:p w14:paraId="5D15A584" w14:textId="6D6A4EF4" w:rsidR="00C279D5" w:rsidRPr="00117F57" w:rsidRDefault="007B68D6" w:rsidP="00F43A68">
            <w:pPr>
              <w:rPr>
                <w:rFonts w:ascii="Arial" w:hAnsi="Arial" w:cs="Arial"/>
                <w:iCs/>
                <w:szCs w:val="22"/>
              </w:rPr>
            </w:pPr>
            <w:r w:rsidRPr="00117F57">
              <w:rPr>
                <w:rFonts w:ascii="Arial" w:hAnsi="Arial" w:cs="Arial"/>
                <w:iCs/>
                <w:szCs w:val="22"/>
              </w:rPr>
              <w:t>QOF IND 10</w:t>
            </w:r>
          </w:p>
        </w:tc>
        <w:tc>
          <w:tcPr>
            <w:tcW w:w="11056" w:type="dxa"/>
            <w:tcMar>
              <w:left w:w="57" w:type="dxa"/>
              <w:right w:w="57" w:type="dxa"/>
            </w:tcMar>
          </w:tcPr>
          <w:p w14:paraId="029DB8E3" w14:textId="2BF51058" w:rsidR="007B68D6" w:rsidRDefault="007B68D6" w:rsidP="007B68D6">
            <w:pPr>
              <w:rPr>
                <w:rFonts w:ascii="Arial" w:hAnsi="Arial" w:cs="Arial"/>
                <w:szCs w:val="22"/>
              </w:rPr>
            </w:pPr>
            <w:r w:rsidRPr="007B68D6">
              <w:rPr>
                <w:rFonts w:ascii="Arial" w:hAnsi="Arial" w:cs="Arial"/>
                <w:szCs w:val="22"/>
              </w:rPr>
              <w:t>It is vital for the credibility of QOF that it remains focussed on indicators that make a significant difference to individual patients, where the evidence base for benefit is strong, and the profession as a whole backs their inclusion; the proposal to include a measure of statin use at the 10% risk threshold fails on all these counts. A QOF indicator for this will not measure the quality of care offered by practices to their patients, merely their willingness to resort to pharmacological rather than behavioural intervention, which is hardly a measure of good care.</w:t>
            </w:r>
          </w:p>
          <w:p w14:paraId="4EC30DCB" w14:textId="46863D5A" w:rsidR="007B68D6" w:rsidRPr="007B68D6" w:rsidRDefault="007B68D6" w:rsidP="007B68D6">
            <w:pPr>
              <w:rPr>
                <w:rFonts w:ascii="Arial" w:hAnsi="Arial" w:cs="Arial"/>
                <w:szCs w:val="22"/>
              </w:rPr>
            </w:pPr>
            <w:r>
              <w:rPr>
                <w:rFonts w:ascii="Arial" w:hAnsi="Arial" w:cs="Arial"/>
                <w:szCs w:val="22"/>
              </w:rPr>
              <w:t>A practice which involves patients in a discussion about the relative risks and benefits of statin therapy and informs patients with the use of decision aids to show ‘numbers needed to treat’ and ‘numbers needed to harm’ will have lower prescribing figures</w:t>
            </w:r>
            <w:r w:rsidR="00E6247C">
              <w:rPr>
                <w:rFonts w:ascii="Arial" w:hAnsi="Arial" w:cs="Arial"/>
                <w:szCs w:val="22"/>
              </w:rPr>
              <w:t xml:space="preserve"> for statins than one which simply prescribes, but will b</w:t>
            </w:r>
            <w:r w:rsidR="005E0D69">
              <w:rPr>
                <w:rFonts w:ascii="Arial" w:hAnsi="Arial" w:cs="Arial"/>
                <w:szCs w:val="22"/>
              </w:rPr>
              <w:t xml:space="preserve">e providing higher quality care, so this proposed indicator is incompetent. </w:t>
            </w:r>
          </w:p>
          <w:p w14:paraId="66980034" w14:textId="77777777" w:rsidR="00C279D5" w:rsidRDefault="007B68D6" w:rsidP="007B68D6">
            <w:pPr>
              <w:rPr>
                <w:rFonts w:ascii="Arial" w:hAnsi="Arial" w:cs="Arial"/>
                <w:szCs w:val="22"/>
              </w:rPr>
            </w:pPr>
            <w:r w:rsidRPr="007B68D6">
              <w:rPr>
                <w:rFonts w:ascii="Arial" w:hAnsi="Arial" w:cs="Arial"/>
                <w:szCs w:val="22"/>
              </w:rPr>
              <w:t xml:space="preserve">Effective primary prevention of cardiovascular disease is a difficult and complex clinical situation, with a plethora of factors to take into account, the most important of which are the views of the patient. Attempts to evaluate this nuanced discussion by </w:t>
            </w:r>
            <w:r>
              <w:rPr>
                <w:rFonts w:ascii="Arial" w:hAnsi="Arial" w:cs="Arial"/>
                <w:szCs w:val="22"/>
              </w:rPr>
              <w:t>measuring</w:t>
            </w:r>
            <w:r w:rsidRPr="007B68D6">
              <w:rPr>
                <w:rFonts w:ascii="Arial" w:hAnsi="Arial" w:cs="Arial"/>
                <w:szCs w:val="22"/>
              </w:rPr>
              <w:t xml:space="preserve"> crude prescription numbers is not only medically unjustifiable but </w:t>
            </w:r>
            <w:r>
              <w:rPr>
                <w:rFonts w:ascii="Arial" w:hAnsi="Arial" w:cs="Arial"/>
                <w:szCs w:val="22"/>
              </w:rPr>
              <w:t>incentivises an</w:t>
            </w:r>
            <w:r w:rsidRPr="007B68D6">
              <w:rPr>
                <w:rFonts w:ascii="Arial" w:hAnsi="Arial" w:cs="Arial"/>
                <w:szCs w:val="22"/>
              </w:rPr>
              <w:t xml:space="preserve"> interventionist doctor-knows-best model of care which disempowers patients and undermines informed patient choice.</w:t>
            </w:r>
          </w:p>
          <w:p w14:paraId="15546E49" w14:textId="6EC4B4D6" w:rsidR="00E6247C" w:rsidRDefault="00E6247C" w:rsidP="007B68D6">
            <w:pPr>
              <w:rPr>
                <w:rFonts w:ascii="Arial" w:hAnsi="Arial" w:cs="Arial"/>
                <w:szCs w:val="22"/>
              </w:rPr>
            </w:pPr>
            <w:r>
              <w:rPr>
                <w:rFonts w:ascii="Arial" w:hAnsi="Arial" w:cs="Arial"/>
                <w:szCs w:val="22"/>
              </w:rPr>
              <w:t>The age range is too great to be used as a quality measure, as all patients in the upper age range will have 10 year risks greater than 10% by virtue of age alone, but many of these will be unsuitable for statin therapy due to comorbidities, intolerance, or limited life expectancy. The large number of patients requiring completely appropriate exemption reporting will negate the statistical validity of the collected figures.</w:t>
            </w:r>
          </w:p>
          <w:p w14:paraId="1B277870" w14:textId="77777777" w:rsidR="00E6247C" w:rsidRDefault="007B68D6" w:rsidP="007B68D6">
            <w:pPr>
              <w:rPr>
                <w:rFonts w:ascii="Arial" w:hAnsi="Arial" w:cs="Arial"/>
                <w:szCs w:val="22"/>
              </w:rPr>
            </w:pPr>
            <w:r>
              <w:rPr>
                <w:rFonts w:ascii="Arial" w:hAnsi="Arial" w:cs="Arial"/>
                <w:szCs w:val="22"/>
              </w:rPr>
              <w:t xml:space="preserve">With regard to the two specific questions, lifestyle modification will not have a significant impact on risk as measured by the QRISK2 calculator on </w:t>
            </w:r>
            <w:r w:rsidR="00E6247C">
              <w:rPr>
                <w:rFonts w:ascii="Arial" w:hAnsi="Arial" w:cs="Arial"/>
                <w:szCs w:val="22"/>
              </w:rPr>
              <w:t>early review. Annual formulaic intervention on smoking, alcohol, and diet for all patients is an unproductive activity and negates the sensible modification of hypertension indictors introduced in 2014-15.</w:t>
            </w:r>
          </w:p>
          <w:p w14:paraId="5D15A585" w14:textId="6EEE3526" w:rsidR="00E6247C" w:rsidRPr="00E6247C" w:rsidRDefault="00E6247C" w:rsidP="00E6247C">
            <w:pPr>
              <w:rPr>
                <w:rFonts w:ascii="Arial" w:hAnsi="Arial" w:cs="Arial"/>
                <w:szCs w:val="22"/>
              </w:rPr>
            </w:pPr>
            <w:r>
              <w:rPr>
                <w:rFonts w:ascii="Arial" w:hAnsi="Arial" w:cs="Arial"/>
                <w:szCs w:val="22"/>
              </w:rPr>
              <w:t>If it is desired to put forward an indicator regarding statins into the negotiation process for inclusion into QOF we would recommend an indicator measuring the patients who have had at diagnosis a discussion about statin therapy using a recognised decision making aid.</w:t>
            </w:r>
          </w:p>
        </w:tc>
      </w:tr>
      <w:tr w:rsidR="00C279D5" w14:paraId="5D15A589" w14:textId="77777777" w:rsidTr="00C279D5">
        <w:tc>
          <w:tcPr>
            <w:tcW w:w="2823" w:type="dxa"/>
            <w:tcMar>
              <w:left w:w="57" w:type="dxa"/>
              <w:right w:w="57" w:type="dxa"/>
            </w:tcMar>
          </w:tcPr>
          <w:p w14:paraId="5D15A587" w14:textId="1A3D9F14" w:rsidR="00C279D5" w:rsidRPr="00117F57" w:rsidRDefault="00FB4FB0" w:rsidP="00F43A68">
            <w:pPr>
              <w:rPr>
                <w:rFonts w:ascii="Arial" w:hAnsi="Arial" w:cs="Arial"/>
                <w:iCs/>
                <w:szCs w:val="22"/>
              </w:rPr>
            </w:pPr>
            <w:r w:rsidRPr="00117F57">
              <w:rPr>
                <w:rFonts w:ascii="Arial" w:hAnsi="Arial" w:cs="Arial"/>
                <w:iCs/>
                <w:szCs w:val="22"/>
              </w:rPr>
              <w:t>QOF IND 11</w:t>
            </w:r>
          </w:p>
        </w:tc>
        <w:tc>
          <w:tcPr>
            <w:tcW w:w="11056" w:type="dxa"/>
            <w:tcMar>
              <w:left w:w="57" w:type="dxa"/>
              <w:right w:w="57" w:type="dxa"/>
            </w:tcMar>
          </w:tcPr>
          <w:p w14:paraId="7D646BA7" w14:textId="77777777" w:rsidR="00E6247C" w:rsidRDefault="00E6247C" w:rsidP="00E6247C">
            <w:pPr>
              <w:rPr>
                <w:rFonts w:ascii="Arial" w:hAnsi="Arial" w:cs="Arial"/>
                <w:szCs w:val="22"/>
              </w:rPr>
            </w:pPr>
            <w:r w:rsidRPr="007B68D6">
              <w:rPr>
                <w:rFonts w:ascii="Arial" w:hAnsi="Arial" w:cs="Arial"/>
                <w:szCs w:val="22"/>
              </w:rPr>
              <w:t>It is vital for the credibility of QOF that it remains focussed on indicators that make a significant difference to individual patients, where the evidence base for benefit is strong, and the profession as a whole backs their inclusion; the proposal to include a measure of statin use at the 10% risk threshold fails on all these counts. A QOF indicator for this will not measure the quality of care offered by practices to their patients, merely their willingness to resort to pharmacological rather than behavioural intervention, which is hardly a measure of good care.</w:t>
            </w:r>
          </w:p>
          <w:p w14:paraId="1082E5E0" w14:textId="74E67685" w:rsidR="00E6247C" w:rsidRPr="007B68D6" w:rsidRDefault="00E6247C" w:rsidP="00E6247C">
            <w:pPr>
              <w:rPr>
                <w:rFonts w:ascii="Arial" w:hAnsi="Arial" w:cs="Arial"/>
                <w:szCs w:val="22"/>
              </w:rPr>
            </w:pPr>
            <w:r>
              <w:rPr>
                <w:rFonts w:ascii="Arial" w:hAnsi="Arial" w:cs="Arial"/>
                <w:szCs w:val="22"/>
              </w:rPr>
              <w:t>A practice which involves patients in a discussion about the relative risks and benefits of statin therapy and informs patients with the use of decision aids to show ‘numbers needed to treat’ and ‘numbers needed to harm’ will have lower prescribing figures for statins than one which simply prescribes, but will b</w:t>
            </w:r>
            <w:r w:rsidR="005E0D69">
              <w:rPr>
                <w:rFonts w:ascii="Arial" w:hAnsi="Arial" w:cs="Arial"/>
                <w:szCs w:val="22"/>
              </w:rPr>
              <w:t>e providing higher quality care, so this proposed indicator is incompetent.</w:t>
            </w:r>
          </w:p>
          <w:p w14:paraId="08B96DC3" w14:textId="77777777" w:rsidR="00E6247C" w:rsidRDefault="00E6247C" w:rsidP="00E6247C">
            <w:pPr>
              <w:rPr>
                <w:rFonts w:ascii="Arial" w:hAnsi="Arial" w:cs="Arial"/>
                <w:szCs w:val="22"/>
              </w:rPr>
            </w:pPr>
            <w:r w:rsidRPr="007B68D6">
              <w:rPr>
                <w:rFonts w:ascii="Arial" w:hAnsi="Arial" w:cs="Arial"/>
                <w:szCs w:val="22"/>
              </w:rPr>
              <w:t xml:space="preserve">Effective primary prevention of cardiovascular disease is a difficult and complex clinical situation, with a plethora of factors to take into account, the most important of which are the views of the patient. Attempts to evaluate this nuanced discussion by </w:t>
            </w:r>
            <w:r>
              <w:rPr>
                <w:rFonts w:ascii="Arial" w:hAnsi="Arial" w:cs="Arial"/>
                <w:szCs w:val="22"/>
              </w:rPr>
              <w:t>measuring</w:t>
            </w:r>
            <w:r w:rsidRPr="007B68D6">
              <w:rPr>
                <w:rFonts w:ascii="Arial" w:hAnsi="Arial" w:cs="Arial"/>
                <w:szCs w:val="22"/>
              </w:rPr>
              <w:t xml:space="preserve"> crude prescription numbers is not only medically unjustifiable but </w:t>
            </w:r>
            <w:r>
              <w:rPr>
                <w:rFonts w:ascii="Arial" w:hAnsi="Arial" w:cs="Arial"/>
                <w:szCs w:val="22"/>
              </w:rPr>
              <w:t>incentivises an</w:t>
            </w:r>
            <w:r w:rsidRPr="007B68D6">
              <w:rPr>
                <w:rFonts w:ascii="Arial" w:hAnsi="Arial" w:cs="Arial"/>
                <w:szCs w:val="22"/>
              </w:rPr>
              <w:t xml:space="preserve"> interventionist doctor-knows-best model of care which disempowers patients and undermines informed patient choice.</w:t>
            </w:r>
          </w:p>
          <w:p w14:paraId="4CB48BD5" w14:textId="77777777" w:rsidR="00E6247C" w:rsidRDefault="00E6247C" w:rsidP="00E6247C">
            <w:pPr>
              <w:rPr>
                <w:rFonts w:ascii="Arial" w:hAnsi="Arial" w:cs="Arial"/>
                <w:szCs w:val="22"/>
              </w:rPr>
            </w:pPr>
            <w:r>
              <w:rPr>
                <w:rFonts w:ascii="Arial" w:hAnsi="Arial" w:cs="Arial"/>
                <w:szCs w:val="22"/>
              </w:rPr>
              <w:t>The age range is too great to be used as a quality measure, as all patients in the upper age range will have 10 year risks greater than 10% by virtue of age alone, but many of these will be unsuitable for statin therapy due to comorbidities, intolerance, or limited life expectancy. The large number of patients requiring completely appropriate exemption reporting will negate the statistical validity of the collected figures.</w:t>
            </w:r>
          </w:p>
          <w:p w14:paraId="45655AD9" w14:textId="77777777" w:rsidR="00E6247C" w:rsidRDefault="00E6247C" w:rsidP="00E6247C">
            <w:pPr>
              <w:rPr>
                <w:rFonts w:ascii="Arial" w:hAnsi="Arial" w:cs="Arial"/>
                <w:szCs w:val="22"/>
              </w:rPr>
            </w:pPr>
            <w:r>
              <w:rPr>
                <w:rFonts w:ascii="Arial" w:hAnsi="Arial" w:cs="Arial"/>
                <w:szCs w:val="22"/>
              </w:rPr>
              <w:t>With regard to the two specific questions, lifestyle modification will not have a significant impact on risk as measured by the QRISK2 calculator on early review. Annual formulaic intervention on smoking, alcohol, and diet for all patients is an unproductive activity and negates the sensible modification of hypertension indictors introduced in 2014-15.</w:t>
            </w:r>
          </w:p>
          <w:p w14:paraId="5D15A588" w14:textId="5C5B02F5" w:rsidR="00C279D5" w:rsidRPr="005F272C" w:rsidRDefault="00E6247C" w:rsidP="00E6247C">
            <w:pPr>
              <w:rPr>
                <w:rFonts w:ascii="Arial" w:hAnsi="Arial" w:cs="Arial"/>
                <w:iCs/>
                <w:szCs w:val="22"/>
              </w:rPr>
            </w:pPr>
            <w:r>
              <w:rPr>
                <w:rFonts w:ascii="Arial" w:hAnsi="Arial" w:cs="Arial"/>
                <w:szCs w:val="22"/>
              </w:rPr>
              <w:t>If it is desired to put forward an indicator regarding statins into the negotiation process for inclusion into QOF we would recommend an indicator measuring the patients who have had at diagnosis a discussion about statin therapy using a recognised decision making aid.</w:t>
            </w:r>
          </w:p>
        </w:tc>
      </w:tr>
      <w:tr w:rsidR="00C279D5" w14:paraId="5D15A58C" w14:textId="77777777" w:rsidTr="00C279D5">
        <w:tc>
          <w:tcPr>
            <w:tcW w:w="2823" w:type="dxa"/>
            <w:tcMar>
              <w:left w:w="57" w:type="dxa"/>
              <w:right w:w="57" w:type="dxa"/>
            </w:tcMar>
          </w:tcPr>
          <w:p w14:paraId="5D15A58A" w14:textId="2062EABB" w:rsidR="00C279D5" w:rsidRPr="00117F57" w:rsidRDefault="00FB4FB0" w:rsidP="00F43A68">
            <w:pPr>
              <w:rPr>
                <w:rFonts w:ascii="Arial" w:hAnsi="Arial" w:cs="Arial"/>
                <w:iCs/>
                <w:szCs w:val="22"/>
              </w:rPr>
            </w:pPr>
            <w:r w:rsidRPr="00117F57">
              <w:rPr>
                <w:rFonts w:ascii="Arial" w:hAnsi="Arial" w:cs="Arial"/>
                <w:iCs/>
                <w:szCs w:val="22"/>
              </w:rPr>
              <w:t>QOF IND 12</w:t>
            </w:r>
          </w:p>
        </w:tc>
        <w:tc>
          <w:tcPr>
            <w:tcW w:w="11056" w:type="dxa"/>
            <w:tcMar>
              <w:left w:w="57" w:type="dxa"/>
              <w:right w:w="57" w:type="dxa"/>
            </w:tcMar>
          </w:tcPr>
          <w:p w14:paraId="5D15A58B" w14:textId="512B5FAF" w:rsidR="00C279D5" w:rsidRPr="005F272C" w:rsidRDefault="00FB4FB0" w:rsidP="00FB4FB0">
            <w:pPr>
              <w:rPr>
                <w:rFonts w:ascii="Arial" w:hAnsi="Arial" w:cs="Arial"/>
                <w:iCs/>
                <w:szCs w:val="22"/>
              </w:rPr>
            </w:pPr>
            <w:r>
              <w:rPr>
                <w:rFonts w:ascii="Arial" w:hAnsi="Arial" w:cs="Arial"/>
                <w:iCs/>
                <w:szCs w:val="22"/>
              </w:rPr>
              <w:t xml:space="preserve">This register will include far more patients than is practical to prioritise, particularly with no limit on age range, and will identify people who have a lower than average cardiovascular risk for their age. If a register is to be produced it should more adequately target those </w:t>
            </w:r>
            <w:r w:rsidR="005E0D69">
              <w:rPr>
                <w:rFonts w:ascii="Arial" w:hAnsi="Arial" w:cs="Arial"/>
                <w:iCs/>
                <w:szCs w:val="22"/>
              </w:rPr>
              <w:t>with most</w:t>
            </w:r>
            <w:r>
              <w:rPr>
                <w:rFonts w:ascii="Arial" w:hAnsi="Arial" w:cs="Arial"/>
                <w:iCs/>
                <w:szCs w:val="22"/>
              </w:rPr>
              <w:t xml:space="preserve"> to gain by intervention, and this could be done by substantially reducing the upper limit and/or increasing the risk threshold for intervention.</w:t>
            </w:r>
          </w:p>
        </w:tc>
      </w:tr>
      <w:tr w:rsidR="00C279D5" w14:paraId="5D15A58F" w14:textId="77777777" w:rsidTr="00C279D5">
        <w:tc>
          <w:tcPr>
            <w:tcW w:w="2823" w:type="dxa"/>
            <w:tcMar>
              <w:left w:w="57" w:type="dxa"/>
              <w:right w:w="57" w:type="dxa"/>
            </w:tcMar>
          </w:tcPr>
          <w:p w14:paraId="5D15A58D" w14:textId="77777777" w:rsidR="00C279D5" w:rsidRDefault="00C279D5" w:rsidP="00F43A68">
            <w:pPr>
              <w:rPr>
                <w:rFonts w:cs="Arial"/>
                <w:iCs/>
                <w:szCs w:val="22"/>
              </w:rPr>
            </w:pPr>
          </w:p>
        </w:tc>
        <w:tc>
          <w:tcPr>
            <w:tcW w:w="11056" w:type="dxa"/>
            <w:tcMar>
              <w:left w:w="57" w:type="dxa"/>
              <w:right w:w="57" w:type="dxa"/>
            </w:tcMar>
          </w:tcPr>
          <w:p w14:paraId="5D15A58E" w14:textId="77777777" w:rsidR="00C279D5" w:rsidRPr="005F272C" w:rsidRDefault="00C279D5" w:rsidP="00F43A68">
            <w:pPr>
              <w:rPr>
                <w:rFonts w:ascii="Arial" w:hAnsi="Arial" w:cs="Arial"/>
                <w:iCs/>
                <w:szCs w:val="22"/>
              </w:rPr>
            </w:pPr>
          </w:p>
        </w:tc>
      </w:tr>
      <w:tr w:rsidR="00C279D5" w14:paraId="5D15A592" w14:textId="77777777" w:rsidTr="00C279D5">
        <w:tc>
          <w:tcPr>
            <w:tcW w:w="2823" w:type="dxa"/>
            <w:tcMar>
              <w:left w:w="57" w:type="dxa"/>
              <w:right w:w="57" w:type="dxa"/>
            </w:tcMar>
          </w:tcPr>
          <w:p w14:paraId="5D15A590" w14:textId="77777777" w:rsidR="00C279D5" w:rsidRDefault="00C279D5" w:rsidP="00F43A68">
            <w:pPr>
              <w:rPr>
                <w:rFonts w:cs="Arial"/>
                <w:iCs/>
                <w:szCs w:val="22"/>
              </w:rPr>
            </w:pPr>
          </w:p>
        </w:tc>
        <w:tc>
          <w:tcPr>
            <w:tcW w:w="11056" w:type="dxa"/>
            <w:tcMar>
              <w:left w:w="57" w:type="dxa"/>
              <w:right w:w="57" w:type="dxa"/>
            </w:tcMar>
          </w:tcPr>
          <w:p w14:paraId="5D15A591" w14:textId="77777777" w:rsidR="00C279D5" w:rsidRPr="005F272C" w:rsidRDefault="00C279D5" w:rsidP="00F43A68">
            <w:pPr>
              <w:rPr>
                <w:rFonts w:ascii="Arial" w:hAnsi="Arial" w:cs="Arial"/>
                <w:iCs/>
                <w:szCs w:val="22"/>
              </w:rPr>
            </w:pPr>
          </w:p>
        </w:tc>
      </w:tr>
      <w:tr w:rsidR="00C279D5" w14:paraId="5D15A595" w14:textId="77777777" w:rsidTr="00C279D5">
        <w:tc>
          <w:tcPr>
            <w:tcW w:w="2823" w:type="dxa"/>
            <w:tcMar>
              <w:left w:w="57" w:type="dxa"/>
              <w:right w:w="57" w:type="dxa"/>
            </w:tcMar>
          </w:tcPr>
          <w:p w14:paraId="5D15A593" w14:textId="77777777" w:rsidR="00C279D5" w:rsidRDefault="00C279D5" w:rsidP="00F43A68">
            <w:pPr>
              <w:rPr>
                <w:rFonts w:cs="Arial"/>
                <w:iCs/>
                <w:szCs w:val="22"/>
              </w:rPr>
            </w:pPr>
          </w:p>
        </w:tc>
        <w:tc>
          <w:tcPr>
            <w:tcW w:w="11056" w:type="dxa"/>
            <w:tcMar>
              <w:left w:w="57" w:type="dxa"/>
              <w:right w:w="57" w:type="dxa"/>
            </w:tcMar>
          </w:tcPr>
          <w:p w14:paraId="5D15A594" w14:textId="77777777" w:rsidR="00C279D5" w:rsidRPr="005F272C" w:rsidRDefault="00C279D5" w:rsidP="00F43A68">
            <w:pPr>
              <w:rPr>
                <w:rFonts w:ascii="Arial" w:hAnsi="Arial" w:cs="Arial"/>
                <w:iCs/>
                <w:szCs w:val="22"/>
              </w:rPr>
            </w:pPr>
          </w:p>
        </w:tc>
      </w:tr>
      <w:tr w:rsidR="00C279D5" w14:paraId="5D15A598" w14:textId="77777777" w:rsidTr="00C279D5">
        <w:tc>
          <w:tcPr>
            <w:tcW w:w="2823" w:type="dxa"/>
            <w:tcMar>
              <w:left w:w="57" w:type="dxa"/>
              <w:right w:w="57" w:type="dxa"/>
            </w:tcMar>
          </w:tcPr>
          <w:p w14:paraId="5D15A596" w14:textId="77777777" w:rsidR="00C279D5" w:rsidRDefault="00C279D5" w:rsidP="00F43A68">
            <w:pPr>
              <w:rPr>
                <w:rFonts w:cs="Arial"/>
                <w:iCs/>
                <w:szCs w:val="22"/>
              </w:rPr>
            </w:pPr>
          </w:p>
        </w:tc>
        <w:tc>
          <w:tcPr>
            <w:tcW w:w="11056" w:type="dxa"/>
            <w:tcMar>
              <w:left w:w="57" w:type="dxa"/>
              <w:right w:w="57" w:type="dxa"/>
            </w:tcMar>
          </w:tcPr>
          <w:p w14:paraId="5D15A597" w14:textId="77777777" w:rsidR="00C279D5" w:rsidRPr="005F272C" w:rsidRDefault="00C279D5" w:rsidP="00F43A68">
            <w:pPr>
              <w:rPr>
                <w:rFonts w:ascii="Arial" w:hAnsi="Arial" w:cs="Arial"/>
                <w:iCs/>
                <w:szCs w:val="22"/>
              </w:rPr>
            </w:pPr>
          </w:p>
        </w:tc>
      </w:tr>
      <w:tr w:rsidR="00C279D5" w14:paraId="5D15A59B" w14:textId="77777777" w:rsidTr="00C279D5">
        <w:tc>
          <w:tcPr>
            <w:tcW w:w="2823" w:type="dxa"/>
            <w:tcMar>
              <w:left w:w="57" w:type="dxa"/>
              <w:right w:w="57" w:type="dxa"/>
            </w:tcMar>
          </w:tcPr>
          <w:p w14:paraId="5D15A599" w14:textId="77777777" w:rsidR="00C279D5" w:rsidRDefault="00C279D5" w:rsidP="00F43A68">
            <w:pPr>
              <w:rPr>
                <w:rFonts w:cs="Arial"/>
                <w:iCs/>
                <w:szCs w:val="22"/>
              </w:rPr>
            </w:pPr>
          </w:p>
        </w:tc>
        <w:tc>
          <w:tcPr>
            <w:tcW w:w="11056" w:type="dxa"/>
            <w:tcMar>
              <w:left w:w="57" w:type="dxa"/>
              <w:right w:w="57" w:type="dxa"/>
            </w:tcMar>
          </w:tcPr>
          <w:p w14:paraId="5D15A59A" w14:textId="77777777" w:rsidR="00C279D5" w:rsidRPr="005F272C" w:rsidRDefault="00C279D5" w:rsidP="00F43A68">
            <w:pPr>
              <w:rPr>
                <w:rFonts w:ascii="Arial" w:hAnsi="Arial" w:cs="Arial"/>
                <w:iCs/>
                <w:szCs w:val="22"/>
              </w:rPr>
            </w:pPr>
          </w:p>
        </w:tc>
      </w:tr>
      <w:tr w:rsidR="00C279D5" w14:paraId="5D15A59E" w14:textId="77777777" w:rsidTr="00C279D5">
        <w:tc>
          <w:tcPr>
            <w:tcW w:w="2823" w:type="dxa"/>
            <w:tcMar>
              <w:left w:w="57" w:type="dxa"/>
              <w:right w:w="57" w:type="dxa"/>
            </w:tcMar>
          </w:tcPr>
          <w:p w14:paraId="5D15A59C" w14:textId="77777777" w:rsidR="00C279D5" w:rsidRDefault="00C279D5" w:rsidP="00F43A68">
            <w:pPr>
              <w:rPr>
                <w:rFonts w:cs="Arial"/>
                <w:iCs/>
                <w:szCs w:val="22"/>
              </w:rPr>
            </w:pPr>
          </w:p>
        </w:tc>
        <w:tc>
          <w:tcPr>
            <w:tcW w:w="11056" w:type="dxa"/>
            <w:tcMar>
              <w:left w:w="57" w:type="dxa"/>
              <w:right w:w="57" w:type="dxa"/>
            </w:tcMar>
          </w:tcPr>
          <w:p w14:paraId="5D15A59D" w14:textId="77777777" w:rsidR="00C279D5" w:rsidRPr="005F272C" w:rsidRDefault="00C279D5" w:rsidP="00F43A68">
            <w:pPr>
              <w:rPr>
                <w:rFonts w:ascii="Arial" w:hAnsi="Arial" w:cs="Arial"/>
                <w:iCs/>
                <w:szCs w:val="22"/>
              </w:rPr>
            </w:pPr>
          </w:p>
        </w:tc>
      </w:tr>
      <w:tr w:rsidR="00C279D5" w14:paraId="5D15A5A1" w14:textId="77777777" w:rsidTr="00C279D5">
        <w:tc>
          <w:tcPr>
            <w:tcW w:w="2823" w:type="dxa"/>
            <w:tcMar>
              <w:left w:w="57" w:type="dxa"/>
              <w:right w:w="57" w:type="dxa"/>
            </w:tcMar>
          </w:tcPr>
          <w:p w14:paraId="5D15A59F" w14:textId="77777777" w:rsidR="00C279D5" w:rsidRDefault="00C279D5" w:rsidP="00F43A68">
            <w:pPr>
              <w:rPr>
                <w:rFonts w:cs="Arial"/>
                <w:iCs/>
                <w:szCs w:val="22"/>
              </w:rPr>
            </w:pPr>
          </w:p>
        </w:tc>
        <w:tc>
          <w:tcPr>
            <w:tcW w:w="11056" w:type="dxa"/>
            <w:tcMar>
              <w:left w:w="57" w:type="dxa"/>
              <w:right w:w="57" w:type="dxa"/>
            </w:tcMar>
          </w:tcPr>
          <w:p w14:paraId="5D15A5A0" w14:textId="77777777" w:rsidR="00C279D5" w:rsidRPr="005F272C" w:rsidRDefault="00C279D5" w:rsidP="00F43A68">
            <w:pPr>
              <w:rPr>
                <w:rFonts w:ascii="Arial" w:hAnsi="Arial" w:cs="Arial"/>
                <w:iCs/>
                <w:szCs w:val="22"/>
              </w:rPr>
            </w:pPr>
          </w:p>
        </w:tc>
      </w:tr>
      <w:tr w:rsidR="00C279D5" w14:paraId="5D15A5A4" w14:textId="77777777" w:rsidTr="00C279D5">
        <w:tc>
          <w:tcPr>
            <w:tcW w:w="2823" w:type="dxa"/>
            <w:tcMar>
              <w:left w:w="57" w:type="dxa"/>
              <w:right w:w="57" w:type="dxa"/>
            </w:tcMar>
          </w:tcPr>
          <w:p w14:paraId="5D15A5A2" w14:textId="77777777" w:rsidR="00C279D5" w:rsidRDefault="00C279D5" w:rsidP="00F43A68">
            <w:pPr>
              <w:rPr>
                <w:rFonts w:cs="Arial"/>
                <w:iCs/>
                <w:szCs w:val="22"/>
              </w:rPr>
            </w:pPr>
          </w:p>
        </w:tc>
        <w:tc>
          <w:tcPr>
            <w:tcW w:w="11056" w:type="dxa"/>
            <w:tcMar>
              <w:left w:w="57" w:type="dxa"/>
              <w:right w:w="57" w:type="dxa"/>
            </w:tcMar>
          </w:tcPr>
          <w:p w14:paraId="5D15A5A3" w14:textId="77777777" w:rsidR="00C279D5" w:rsidRDefault="00C279D5" w:rsidP="00F43A68">
            <w:pPr>
              <w:rPr>
                <w:rFonts w:cs="Arial"/>
                <w:iCs/>
                <w:szCs w:val="22"/>
              </w:rPr>
            </w:pPr>
          </w:p>
        </w:tc>
      </w:tr>
      <w:tr w:rsidR="00C279D5" w14:paraId="5D15A5A7" w14:textId="77777777" w:rsidTr="00C279D5">
        <w:tc>
          <w:tcPr>
            <w:tcW w:w="2823" w:type="dxa"/>
            <w:tcMar>
              <w:left w:w="57" w:type="dxa"/>
              <w:right w:w="57" w:type="dxa"/>
            </w:tcMar>
          </w:tcPr>
          <w:p w14:paraId="5D15A5A5" w14:textId="77777777" w:rsidR="00C279D5" w:rsidRDefault="00C279D5" w:rsidP="00F43A68">
            <w:pPr>
              <w:rPr>
                <w:rFonts w:cs="Arial"/>
                <w:iCs/>
                <w:szCs w:val="22"/>
              </w:rPr>
            </w:pPr>
          </w:p>
        </w:tc>
        <w:tc>
          <w:tcPr>
            <w:tcW w:w="11056" w:type="dxa"/>
            <w:tcMar>
              <w:left w:w="57" w:type="dxa"/>
              <w:right w:w="57" w:type="dxa"/>
            </w:tcMar>
          </w:tcPr>
          <w:p w14:paraId="5D15A5A6" w14:textId="77777777" w:rsidR="00C279D5" w:rsidRDefault="00C279D5" w:rsidP="00F43A68">
            <w:pPr>
              <w:rPr>
                <w:rFonts w:cs="Arial"/>
                <w:iCs/>
                <w:szCs w:val="22"/>
              </w:rPr>
            </w:pPr>
          </w:p>
        </w:tc>
      </w:tr>
      <w:tr w:rsidR="00C279D5" w14:paraId="5D15A5AA" w14:textId="77777777" w:rsidTr="00C279D5">
        <w:tc>
          <w:tcPr>
            <w:tcW w:w="2823" w:type="dxa"/>
            <w:tcMar>
              <w:left w:w="57" w:type="dxa"/>
              <w:right w:w="57" w:type="dxa"/>
            </w:tcMar>
          </w:tcPr>
          <w:p w14:paraId="5D15A5A8" w14:textId="77777777" w:rsidR="00C279D5" w:rsidRDefault="00C279D5" w:rsidP="00F43A68">
            <w:pPr>
              <w:rPr>
                <w:rFonts w:cs="Arial"/>
                <w:iCs/>
                <w:szCs w:val="22"/>
              </w:rPr>
            </w:pPr>
          </w:p>
        </w:tc>
        <w:tc>
          <w:tcPr>
            <w:tcW w:w="11056" w:type="dxa"/>
            <w:tcMar>
              <w:left w:w="57" w:type="dxa"/>
              <w:right w:w="57" w:type="dxa"/>
            </w:tcMar>
          </w:tcPr>
          <w:p w14:paraId="5D15A5A9" w14:textId="77777777" w:rsidR="00C279D5" w:rsidRDefault="00C279D5" w:rsidP="00F43A68">
            <w:pPr>
              <w:rPr>
                <w:rFonts w:cs="Arial"/>
                <w:iCs/>
                <w:szCs w:val="22"/>
              </w:rPr>
            </w:pPr>
          </w:p>
        </w:tc>
      </w:tr>
      <w:tr w:rsidR="00C279D5" w14:paraId="5D15A5AD" w14:textId="77777777" w:rsidTr="00C279D5">
        <w:tc>
          <w:tcPr>
            <w:tcW w:w="2823" w:type="dxa"/>
            <w:tcMar>
              <w:left w:w="57" w:type="dxa"/>
              <w:right w:w="57" w:type="dxa"/>
            </w:tcMar>
          </w:tcPr>
          <w:p w14:paraId="5D15A5AB" w14:textId="77777777" w:rsidR="00C279D5" w:rsidRDefault="00C279D5" w:rsidP="00F43A68">
            <w:pPr>
              <w:rPr>
                <w:rFonts w:cs="Arial"/>
                <w:iCs/>
                <w:szCs w:val="22"/>
              </w:rPr>
            </w:pPr>
          </w:p>
        </w:tc>
        <w:tc>
          <w:tcPr>
            <w:tcW w:w="11056" w:type="dxa"/>
            <w:tcMar>
              <w:left w:w="57" w:type="dxa"/>
              <w:right w:w="57" w:type="dxa"/>
            </w:tcMar>
          </w:tcPr>
          <w:p w14:paraId="5D15A5AC" w14:textId="77777777" w:rsidR="00C279D5" w:rsidRDefault="00C279D5" w:rsidP="00F43A68">
            <w:pPr>
              <w:rPr>
                <w:rFonts w:cs="Arial"/>
                <w:iCs/>
                <w:szCs w:val="22"/>
              </w:rPr>
            </w:pPr>
          </w:p>
        </w:tc>
      </w:tr>
      <w:tr w:rsidR="00C279D5" w14:paraId="5D15A5B0" w14:textId="77777777" w:rsidTr="00C279D5">
        <w:tc>
          <w:tcPr>
            <w:tcW w:w="2823" w:type="dxa"/>
            <w:tcMar>
              <w:left w:w="57" w:type="dxa"/>
              <w:right w:w="57" w:type="dxa"/>
            </w:tcMar>
          </w:tcPr>
          <w:p w14:paraId="5D15A5AE" w14:textId="77777777" w:rsidR="00C279D5" w:rsidRDefault="00C279D5" w:rsidP="00F43A68">
            <w:pPr>
              <w:rPr>
                <w:rFonts w:cs="Arial"/>
                <w:iCs/>
                <w:szCs w:val="22"/>
              </w:rPr>
            </w:pPr>
          </w:p>
        </w:tc>
        <w:tc>
          <w:tcPr>
            <w:tcW w:w="11056" w:type="dxa"/>
            <w:tcMar>
              <w:left w:w="57" w:type="dxa"/>
              <w:right w:w="57" w:type="dxa"/>
            </w:tcMar>
          </w:tcPr>
          <w:p w14:paraId="5D15A5AF" w14:textId="77777777" w:rsidR="00C279D5" w:rsidRDefault="00C279D5" w:rsidP="00F43A68">
            <w:pPr>
              <w:rPr>
                <w:rFonts w:cs="Arial"/>
                <w:iCs/>
                <w:szCs w:val="22"/>
              </w:rPr>
            </w:pPr>
          </w:p>
        </w:tc>
      </w:tr>
      <w:tr w:rsidR="00C279D5" w14:paraId="5D15A5B3" w14:textId="77777777" w:rsidTr="00C279D5">
        <w:tc>
          <w:tcPr>
            <w:tcW w:w="2823" w:type="dxa"/>
            <w:tcMar>
              <w:left w:w="57" w:type="dxa"/>
              <w:right w:w="57" w:type="dxa"/>
            </w:tcMar>
          </w:tcPr>
          <w:p w14:paraId="5D15A5B1" w14:textId="77777777" w:rsidR="00C279D5" w:rsidRDefault="00C279D5" w:rsidP="00F43A68">
            <w:pPr>
              <w:rPr>
                <w:rFonts w:cs="Arial"/>
                <w:iCs/>
                <w:szCs w:val="22"/>
              </w:rPr>
            </w:pPr>
          </w:p>
        </w:tc>
        <w:tc>
          <w:tcPr>
            <w:tcW w:w="11056" w:type="dxa"/>
            <w:tcMar>
              <w:left w:w="57" w:type="dxa"/>
              <w:right w:w="57" w:type="dxa"/>
            </w:tcMar>
          </w:tcPr>
          <w:p w14:paraId="5D15A5B2" w14:textId="77777777" w:rsidR="00C279D5" w:rsidRDefault="00C279D5" w:rsidP="00F43A68">
            <w:pPr>
              <w:rPr>
                <w:rFonts w:cs="Arial"/>
                <w:iCs/>
                <w:szCs w:val="22"/>
              </w:rPr>
            </w:pPr>
          </w:p>
        </w:tc>
      </w:tr>
      <w:tr w:rsidR="00C279D5" w14:paraId="5D15A5B6" w14:textId="77777777" w:rsidTr="00C279D5">
        <w:tc>
          <w:tcPr>
            <w:tcW w:w="2823" w:type="dxa"/>
            <w:tcMar>
              <w:left w:w="57" w:type="dxa"/>
              <w:right w:w="57" w:type="dxa"/>
            </w:tcMar>
          </w:tcPr>
          <w:p w14:paraId="5D15A5B4" w14:textId="77777777" w:rsidR="00C279D5" w:rsidRDefault="00C279D5" w:rsidP="00F43A68">
            <w:pPr>
              <w:rPr>
                <w:rFonts w:cs="Arial"/>
                <w:iCs/>
                <w:szCs w:val="22"/>
              </w:rPr>
            </w:pPr>
          </w:p>
        </w:tc>
        <w:tc>
          <w:tcPr>
            <w:tcW w:w="11056" w:type="dxa"/>
            <w:tcMar>
              <w:left w:w="57" w:type="dxa"/>
              <w:right w:w="57" w:type="dxa"/>
            </w:tcMar>
          </w:tcPr>
          <w:p w14:paraId="5D15A5B5" w14:textId="77777777" w:rsidR="00C279D5" w:rsidRDefault="00C279D5" w:rsidP="00F43A68">
            <w:pPr>
              <w:rPr>
                <w:rFonts w:cs="Arial"/>
                <w:iCs/>
                <w:szCs w:val="22"/>
              </w:rPr>
            </w:pPr>
          </w:p>
        </w:tc>
      </w:tr>
      <w:tr w:rsidR="00C279D5" w14:paraId="5D15A5B9" w14:textId="77777777" w:rsidTr="00C279D5">
        <w:tc>
          <w:tcPr>
            <w:tcW w:w="2823" w:type="dxa"/>
            <w:tcMar>
              <w:left w:w="57" w:type="dxa"/>
              <w:right w:w="57" w:type="dxa"/>
            </w:tcMar>
          </w:tcPr>
          <w:p w14:paraId="5D15A5B7" w14:textId="77777777" w:rsidR="00C279D5" w:rsidRDefault="00C279D5" w:rsidP="00F43A68">
            <w:pPr>
              <w:rPr>
                <w:rFonts w:cs="Arial"/>
                <w:iCs/>
                <w:szCs w:val="22"/>
              </w:rPr>
            </w:pPr>
          </w:p>
        </w:tc>
        <w:tc>
          <w:tcPr>
            <w:tcW w:w="11056" w:type="dxa"/>
            <w:tcMar>
              <w:left w:w="57" w:type="dxa"/>
              <w:right w:w="57" w:type="dxa"/>
            </w:tcMar>
          </w:tcPr>
          <w:p w14:paraId="5D15A5B8" w14:textId="77777777" w:rsidR="00C279D5" w:rsidRDefault="00C279D5" w:rsidP="00F43A68">
            <w:pPr>
              <w:rPr>
                <w:rFonts w:cs="Arial"/>
                <w:iCs/>
                <w:szCs w:val="22"/>
              </w:rPr>
            </w:pPr>
          </w:p>
        </w:tc>
      </w:tr>
      <w:tr w:rsidR="00C279D5" w14:paraId="5D15A5BC" w14:textId="77777777" w:rsidTr="00C279D5">
        <w:tc>
          <w:tcPr>
            <w:tcW w:w="2823" w:type="dxa"/>
            <w:tcMar>
              <w:left w:w="57" w:type="dxa"/>
              <w:right w:w="57" w:type="dxa"/>
            </w:tcMar>
          </w:tcPr>
          <w:p w14:paraId="5D15A5BA" w14:textId="77777777" w:rsidR="00C279D5" w:rsidRDefault="00C279D5" w:rsidP="00F43A68">
            <w:pPr>
              <w:rPr>
                <w:rFonts w:cs="Arial"/>
                <w:iCs/>
                <w:szCs w:val="22"/>
              </w:rPr>
            </w:pPr>
          </w:p>
        </w:tc>
        <w:tc>
          <w:tcPr>
            <w:tcW w:w="11056" w:type="dxa"/>
            <w:tcMar>
              <w:left w:w="57" w:type="dxa"/>
              <w:right w:w="57" w:type="dxa"/>
            </w:tcMar>
          </w:tcPr>
          <w:p w14:paraId="5D15A5BB" w14:textId="77777777" w:rsidR="00C279D5" w:rsidRDefault="00C279D5" w:rsidP="00F43A68">
            <w:pPr>
              <w:rPr>
                <w:rFonts w:cs="Arial"/>
                <w:iCs/>
                <w:szCs w:val="22"/>
              </w:rPr>
            </w:pPr>
          </w:p>
        </w:tc>
      </w:tr>
      <w:tr w:rsidR="00C279D5" w14:paraId="5D15A5BF" w14:textId="77777777" w:rsidTr="00C279D5">
        <w:tc>
          <w:tcPr>
            <w:tcW w:w="2823" w:type="dxa"/>
            <w:tcMar>
              <w:left w:w="57" w:type="dxa"/>
              <w:right w:w="57" w:type="dxa"/>
            </w:tcMar>
          </w:tcPr>
          <w:p w14:paraId="5D15A5BD" w14:textId="77777777" w:rsidR="00C279D5" w:rsidRDefault="00C279D5" w:rsidP="00F43A68">
            <w:pPr>
              <w:rPr>
                <w:rFonts w:cs="Arial"/>
                <w:iCs/>
                <w:szCs w:val="22"/>
              </w:rPr>
            </w:pPr>
          </w:p>
        </w:tc>
        <w:tc>
          <w:tcPr>
            <w:tcW w:w="11056" w:type="dxa"/>
            <w:tcMar>
              <w:left w:w="57" w:type="dxa"/>
              <w:right w:w="57" w:type="dxa"/>
            </w:tcMar>
          </w:tcPr>
          <w:p w14:paraId="5D15A5BE" w14:textId="77777777" w:rsidR="00C279D5" w:rsidRDefault="00C279D5" w:rsidP="00F43A68">
            <w:pPr>
              <w:rPr>
                <w:rFonts w:cs="Arial"/>
                <w:iCs/>
                <w:szCs w:val="22"/>
              </w:rPr>
            </w:pPr>
          </w:p>
        </w:tc>
      </w:tr>
      <w:tr w:rsidR="00C279D5" w14:paraId="5D15A5C2" w14:textId="77777777" w:rsidTr="00C279D5">
        <w:tc>
          <w:tcPr>
            <w:tcW w:w="2823" w:type="dxa"/>
            <w:tcMar>
              <w:left w:w="57" w:type="dxa"/>
              <w:right w:w="57" w:type="dxa"/>
            </w:tcMar>
          </w:tcPr>
          <w:p w14:paraId="5D15A5C0" w14:textId="77777777" w:rsidR="00C279D5" w:rsidRDefault="00C279D5" w:rsidP="00F43A68">
            <w:pPr>
              <w:rPr>
                <w:rFonts w:cs="Arial"/>
                <w:iCs/>
                <w:szCs w:val="22"/>
              </w:rPr>
            </w:pPr>
          </w:p>
        </w:tc>
        <w:tc>
          <w:tcPr>
            <w:tcW w:w="11056" w:type="dxa"/>
            <w:tcMar>
              <w:left w:w="57" w:type="dxa"/>
              <w:right w:w="57" w:type="dxa"/>
            </w:tcMar>
          </w:tcPr>
          <w:p w14:paraId="5D15A5C1" w14:textId="77777777" w:rsidR="00C279D5" w:rsidRDefault="00C279D5" w:rsidP="00F43A68">
            <w:pPr>
              <w:rPr>
                <w:rFonts w:cs="Arial"/>
                <w:iCs/>
                <w:szCs w:val="22"/>
              </w:rPr>
            </w:pPr>
          </w:p>
        </w:tc>
      </w:tr>
      <w:tr w:rsidR="00C279D5" w14:paraId="5D15A5C5" w14:textId="77777777" w:rsidTr="00C279D5">
        <w:tc>
          <w:tcPr>
            <w:tcW w:w="2823" w:type="dxa"/>
            <w:tcMar>
              <w:left w:w="57" w:type="dxa"/>
              <w:right w:w="57" w:type="dxa"/>
            </w:tcMar>
          </w:tcPr>
          <w:p w14:paraId="5D15A5C3" w14:textId="77777777" w:rsidR="00C279D5" w:rsidRDefault="00C279D5" w:rsidP="00F43A68">
            <w:pPr>
              <w:rPr>
                <w:rFonts w:cs="Arial"/>
                <w:iCs/>
                <w:szCs w:val="22"/>
              </w:rPr>
            </w:pPr>
          </w:p>
        </w:tc>
        <w:tc>
          <w:tcPr>
            <w:tcW w:w="11056" w:type="dxa"/>
            <w:tcMar>
              <w:left w:w="57" w:type="dxa"/>
              <w:right w:w="57" w:type="dxa"/>
            </w:tcMar>
          </w:tcPr>
          <w:p w14:paraId="5D15A5C4" w14:textId="77777777" w:rsidR="00C279D5" w:rsidRDefault="00C279D5" w:rsidP="00F43A68">
            <w:pPr>
              <w:rPr>
                <w:rFonts w:cs="Arial"/>
                <w:iCs/>
                <w:szCs w:val="22"/>
              </w:rPr>
            </w:pPr>
          </w:p>
        </w:tc>
      </w:tr>
      <w:tr w:rsidR="00C279D5" w14:paraId="5D15A5C8" w14:textId="77777777" w:rsidTr="00C279D5">
        <w:tc>
          <w:tcPr>
            <w:tcW w:w="2823" w:type="dxa"/>
            <w:tcMar>
              <w:left w:w="57" w:type="dxa"/>
              <w:right w:w="57" w:type="dxa"/>
            </w:tcMar>
          </w:tcPr>
          <w:p w14:paraId="5D15A5C6" w14:textId="77777777" w:rsidR="00C279D5" w:rsidRDefault="00C279D5" w:rsidP="00F43A68">
            <w:pPr>
              <w:rPr>
                <w:rFonts w:cs="Arial"/>
                <w:iCs/>
                <w:szCs w:val="22"/>
              </w:rPr>
            </w:pPr>
          </w:p>
        </w:tc>
        <w:tc>
          <w:tcPr>
            <w:tcW w:w="11056" w:type="dxa"/>
            <w:tcMar>
              <w:left w:w="57" w:type="dxa"/>
              <w:right w:w="57" w:type="dxa"/>
            </w:tcMar>
          </w:tcPr>
          <w:p w14:paraId="5D15A5C7" w14:textId="77777777" w:rsidR="00C279D5" w:rsidRDefault="00C279D5" w:rsidP="00F43A68">
            <w:pPr>
              <w:rPr>
                <w:rFonts w:cs="Arial"/>
                <w:iCs/>
                <w:szCs w:val="22"/>
              </w:rPr>
            </w:pPr>
          </w:p>
        </w:tc>
      </w:tr>
      <w:tr w:rsidR="00C279D5" w14:paraId="5D15A5CB" w14:textId="77777777" w:rsidTr="00C279D5">
        <w:tc>
          <w:tcPr>
            <w:tcW w:w="2823" w:type="dxa"/>
            <w:tcMar>
              <w:left w:w="57" w:type="dxa"/>
              <w:right w:w="57" w:type="dxa"/>
            </w:tcMar>
          </w:tcPr>
          <w:p w14:paraId="5D15A5C9" w14:textId="77777777" w:rsidR="00C279D5" w:rsidRDefault="00C279D5" w:rsidP="00F43A68">
            <w:pPr>
              <w:rPr>
                <w:rFonts w:cs="Arial"/>
                <w:iCs/>
                <w:szCs w:val="22"/>
              </w:rPr>
            </w:pPr>
          </w:p>
        </w:tc>
        <w:tc>
          <w:tcPr>
            <w:tcW w:w="11056" w:type="dxa"/>
            <w:tcMar>
              <w:left w:w="57" w:type="dxa"/>
              <w:right w:w="57" w:type="dxa"/>
            </w:tcMar>
          </w:tcPr>
          <w:p w14:paraId="5D15A5CA" w14:textId="77777777" w:rsidR="00C279D5" w:rsidRDefault="00C279D5" w:rsidP="00F43A68">
            <w:pPr>
              <w:rPr>
                <w:rFonts w:cs="Arial"/>
                <w:iCs/>
                <w:szCs w:val="22"/>
              </w:rPr>
            </w:pPr>
          </w:p>
        </w:tc>
      </w:tr>
      <w:tr w:rsidR="00C279D5" w14:paraId="5D15A5CE" w14:textId="77777777" w:rsidTr="00C279D5">
        <w:tc>
          <w:tcPr>
            <w:tcW w:w="2823" w:type="dxa"/>
            <w:tcMar>
              <w:left w:w="57" w:type="dxa"/>
              <w:right w:w="57" w:type="dxa"/>
            </w:tcMar>
          </w:tcPr>
          <w:p w14:paraId="5D15A5CC" w14:textId="77777777" w:rsidR="00C279D5" w:rsidRDefault="00C279D5" w:rsidP="00F43A68">
            <w:pPr>
              <w:rPr>
                <w:rFonts w:cs="Arial"/>
                <w:iCs/>
                <w:szCs w:val="22"/>
              </w:rPr>
            </w:pPr>
          </w:p>
        </w:tc>
        <w:tc>
          <w:tcPr>
            <w:tcW w:w="11056" w:type="dxa"/>
            <w:tcMar>
              <w:left w:w="57" w:type="dxa"/>
              <w:right w:w="57" w:type="dxa"/>
            </w:tcMar>
          </w:tcPr>
          <w:p w14:paraId="5D15A5CD" w14:textId="77777777" w:rsidR="00C279D5" w:rsidRDefault="00C279D5" w:rsidP="00F43A68">
            <w:pPr>
              <w:rPr>
                <w:rFonts w:cs="Arial"/>
                <w:iCs/>
                <w:szCs w:val="22"/>
              </w:rPr>
            </w:pPr>
          </w:p>
        </w:tc>
      </w:tr>
      <w:tr w:rsidR="00C279D5" w14:paraId="5D15A5D1" w14:textId="77777777" w:rsidTr="00C279D5">
        <w:tc>
          <w:tcPr>
            <w:tcW w:w="2823" w:type="dxa"/>
            <w:tcMar>
              <w:left w:w="57" w:type="dxa"/>
              <w:right w:w="57" w:type="dxa"/>
            </w:tcMar>
          </w:tcPr>
          <w:p w14:paraId="5D15A5CF" w14:textId="77777777" w:rsidR="00C279D5" w:rsidRDefault="00C279D5" w:rsidP="00F43A68">
            <w:pPr>
              <w:rPr>
                <w:rFonts w:cs="Arial"/>
                <w:iCs/>
                <w:szCs w:val="22"/>
              </w:rPr>
            </w:pPr>
          </w:p>
        </w:tc>
        <w:tc>
          <w:tcPr>
            <w:tcW w:w="11056" w:type="dxa"/>
            <w:tcMar>
              <w:left w:w="57" w:type="dxa"/>
              <w:right w:w="57" w:type="dxa"/>
            </w:tcMar>
          </w:tcPr>
          <w:p w14:paraId="5D15A5D0" w14:textId="77777777" w:rsidR="00C279D5" w:rsidRDefault="00C279D5" w:rsidP="00F43A68">
            <w:pPr>
              <w:rPr>
                <w:rFonts w:cs="Arial"/>
                <w:iCs/>
                <w:szCs w:val="22"/>
              </w:rPr>
            </w:pPr>
          </w:p>
        </w:tc>
      </w:tr>
    </w:tbl>
    <w:p w14:paraId="5D15A5D2" w14:textId="77777777" w:rsidR="000C32B7" w:rsidRPr="009E3C8F" w:rsidRDefault="000C32B7" w:rsidP="000C32B7">
      <w:pPr>
        <w:rPr>
          <w:rFonts w:ascii="Arial" w:hAnsi="Arial" w:cs="Arial"/>
          <w:sz w:val="18"/>
        </w:rPr>
      </w:pPr>
    </w:p>
    <w:p w14:paraId="5D15A5D3" w14:textId="77777777" w:rsidR="000C32B7" w:rsidRDefault="006E457C" w:rsidP="000C32B7">
      <w:pPr>
        <w:rPr>
          <w:rFonts w:ascii="Arial" w:hAnsi="Arial" w:cs="Arial"/>
          <w:lang w:val="en"/>
        </w:rPr>
      </w:pPr>
      <w:r w:rsidRPr="006E457C">
        <w:rPr>
          <w:rFonts w:ascii="Arial" w:hAnsi="Arial" w:cs="Arial"/>
          <w:b/>
          <w:lang w:val="en"/>
        </w:rPr>
        <w:t>Closing date:</w:t>
      </w:r>
      <w:r w:rsidRPr="006E457C">
        <w:rPr>
          <w:rFonts w:ascii="Arial" w:hAnsi="Arial" w:cs="Arial"/>
          <w:lang w:val="en"/>
        </w:rPr>
        <w:t xml:space="preserve"> </w:t>
      </w:r>
      <w:r w:rsidR="004F30B5" w:rsidRPr="006E457C">
        <w:rPr>
          <w:rFonts w:ascii="Arial" w:hAnsi="Arial" w:cs="Arial"/>
          <w:lang w:val="en"/>
        </w:rPr>
        <w:t>Please forward this electronically by 5pm on</w:t>
      </w:r>
      <w:r w:rsidR="00441465">
        <w:rPr>
          <w:rFonts w:ascii="Arial" w:hAnsi="Arial" w:cs="Arial"/>
          <w:b/>
          <w:lang w:val="en"/>
        </w:rPr>
        <w:t xml:space="preserve"> 23</w:t>
      </w:r>
      <w:r w:rsidR="00441465" w:rsidRPr="00441465">
        <w:rPr>
          <w:rFonts w:ascii="Arial" w:hAnsi="Arial" w:cs="Arial"/>
          <w:b/>
          <w:vertAlign w:val="superscript"/>
          <w:lang w:val="en"/>
        </w:rPr>
        <w:t>rd</w:t>
      </w:r>
      <w:r w:rsidR="00441465">
        <w:rPr>
          <w:rFonts w:ascii="Arial" w:hAnsi="Arial" w:cs="Arial"/>
          <w:b/>
          <w:lang w:val="en"/>
        </w:rPr>
        <w:t xml:space="preserve"> February 2015 </w:t>
      </w:r>
      <w:r w:rsidR="004F30B5" w:rsidRPr="006E457C">
        <w:rPr>
          <w:rFonts w:ascii="Arial" w:hAnsi="Arial" w:cs="Arial"/>
          <w:lang w:val="en"/>
        </w:rPr>
        <w:t xml:space="preserve">at the very latest to </w:t>
      </w:r>
      <w:hyperlink r:id="rId10" w:history="1">
        <w:r w:rsidR="00441465" w:rsidRPr="00441465">
          <w:rPr>
            <w:rStyle w:val="Hyperlink"/>
            <w:rFonts w:ascii="Arial" w:hAnsi="Arial" w:cs="Arial"/>
            <w:lang w:val="en"/>
          </w:rPr>
          <w:t>indicators@nice.org.uk</w:t>
        </w:r>
      </w:hyperlink>
      <w:r w:rsidR="004F30B5" w:rsidRPr="006E457C">
        <w:rPr>
          <w:rFonts w:ascii="Arial" w:hAnsi="Arial" w:cs="Arial"/>
          <w:lang w:val="en"/>
        </w:rPr>
        <w:t xml:space="preserve">   </w:t>
      </w:r>
    </w:p>
    <w:p w14:paraId="5D15A5D4" w14:textId="77777777" w:rsidR="006E457C" w:rsidRDefault="006E457C" w:rsidP="000C32B7">
      <w:pPr>
        <w:rPr>
          <w:b/>
          <w:color w:val="99CCFF"/>
        </w:rPr>
      </w:pPr>
    </w:p>
    <w:p w14:paraId="5D15A5D5" w14:textId="77777777" w:rsidR="00B60D70" w:rsidRPr="005860F4" w:rsidRDefault="000C32B7" w:rsidP="00362226">
      <w:pPr>
        <w:pStyle w:val="NICEnormal"/>
        <w:rPr>
          <w:lang w:val="en-GB"/>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w:t>
      </w:r>
      <w:r w:rsidR="00BD55E4">
        <w:rPr>
          <w:sz w:val="20"/>
        </w:rPr>
        <w:t>f</w:t>
      </w:r>
      <w:r w:rsidRPr="005A45BD">
        <w:rPr>
          <w:sz w:val="20"/>
        </w:rPr>
        <w:t xml:space="preserve"> the Institute, the comments are voluminous, publication would be unlawful or publication would be otherwise inappropriat</w:t>
      </w:r>
      <w:r>
        <w:rPr>
          <w:sz w:val="20"/>
        </w:rPr>
        <w:t>e.</w:t>
      </w:r>
    </w:p>
    <w:sectPr w:rsidR="00B60D70" w:rsidRPr="005860F4" w:rsidSect="000C32B7">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C37EB" w14:textId="77777777" w:rsidR="00A94D8C" w:rsidRDefault="00A94D8C">
      <w:r>
        <w:separator/>
      </w:r>
    </w:p>
  </w:endnote>
  <w:endnote w:type="continuationSeparator" w:id="0">
    <w:p w14:paraId="0D917923" w14:textId="77777777" w:rsidR="00A94D8C" w:rsidRDefault="00A9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3AA76" w14:textId="77777777" w:rsidR="00A94D8C" w:rsidRDefault="00A94D8C">
      <w:r>
        <w:separator/>
      </w:r>
    </w:p>
  </w:footnote>
  <w:footnote w:type="continuationSeparator" w:id="0">
    <w:p w14:paraId="5E309433" w14:textId="77777777" w:rsidR="00A94D8C" w:rsidRDefault="00A94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5">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7601C0"/>
    <w:multiLevelType w:val="hybridMultilevel"/>
    <w:tmpl w:val="9A48524E"/>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1"/>
  </w:num>
  <w:num w:numId="3">
    <w:abstractNumId w:val="34"/>
  </w:num>
  <w:num w:numId="4">
    <w:abstractNumId w:val="12"/>
  </w:num>
  <w:num w:numId="5">
    <w:abstractNumId w:val="17"/>
  </w:num>
  <w:num w:numId="6">
    <w:abstractNumId w:val="26"/>
  </w:num>
  <w:num w:numId="7">
    <w:abstractNumId w:val="27"/>
  </w:num>
  <w:num w:numId="8">
    <w:abstractNumId w:val="10"/>
  </w:num>
  <w:num w:numId="9">
    <w:abstractNumId w:val="35"/>
  </w:num>
  <w:num w:numId="10">
    <w:abstractNumId w:val="12"/>
  </w:num>
  <w:num w:numId="11">
    <w:abstractNumId w:val="12"/>
  </w:num>
  <w:num w:numId="12">
    <w:abstractNumId w:val="12"/>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24"/>
  </w:num>
  <w:num w:numId="27">
    <w:abstractNumId w:val="30"/>
  </w:num>
  <w:num w:numId="28">
    <w:abstractNumId w:val="37"/>
  </w:num>
  <w:num w:numId="29">
    <w:abstractNumId w:val="23"/>
  </w:num>
  <w:num w:numId="30">
    <w:abstractNumId w:val="22"/>
  </w:num>
  <w:num w:numId="31">
    <w:abstractNumId w:val="23"/>
    <w:lvlOverride w:ilvl="0">
      <w:startOverride w:val="1"/>
    </w:lvlOverride>
  </w:num>
  <w:num w:numId="32">
    <w:abstractNumId w:val="21"/>
  </w:num>
  <w:num w:numId="33">
    <w:abstractNumId w:val="25"/>
  </w:num>
  <w:num w:numId="34">
    <w:abstractNumId w:val="29"/>
  </w:num>
  <w:num w:numId="35">
    <w:abstractNumId w:val="14"/>
  </w:num>
  <w:num w:numId="36">
    <w:abstractNumId w:val="33"/>
  </w:num>
  <w:num w:numId="37">
    <w:abstractNumId w:val="19"/>
  </w:num>
  <w:num w:numId="38">
    <w:abstractNumId w:val="28"/>
  </w:num>
  <w:num w:numId="39">
    <w:abstractNumId w:val="32"/>
  </w:num>
  <w:num w:numId="40">
    <w:abstractNumId w:val="13"/>
  </w:num>
  <w:num w:numId="41">
    <w:abstractNumId w:val="31"/>
  </w:num>
  <w:num w:numId="42">
    <w:abstractNumId w:val="16"/>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68"/>
    <w:rsid w:val="000119FB"/>
    <w:rsid w:val="00060D62"/>
    <w:rsid w:val="000B3247"/>
    <w:rsid w:val="000C32B7"/>
    <w:rsid w:val="000D0F11"/>
    <w:rsid w:val="000D5F43"/>
    <w:rsid w:val="00101F34"/>
    <w:rsid w:val="00117F57"/>
    <w:rsid w:val="00153773"/>
    <w:rsid w:val="00161AA0"/>
    <w:rsid w:val="00166705"/>
    <w:rsid w:val="00170D5F"/>
    <w:rsid w:val="001B0506"/>
    <w:rsid w:val="001D069B"/>
    <w:rsid w:val="001F10AB"/>
    <w:rsid w:val="00235CAB"/>
    <w:rsid w:val="00242D91"/>
    <w:rsid w:val="00265064"/>
    <w:rsid w:val="00272595"/>
    <w:rsid w:val="00293D36"/>
    <w:rsid w:val="002B684C"/>
    <w:rsid w:val="002C3F3C"/>
    <w:rsid w:val="002D207F"/>
    <w:rsid w:val="00303E22"/>
    <w:rsid w:val="0031664C"/>
    <w:rsid w:val="003330E6"/>
    <w:rsid w:val="00335550"/>
    <w:rsid w:val="0036178C"/>
    <w:rsid w:val="00362226"/>
    <w:rsid w:val="00375EE6"/>
    <w:rsid w:val="003A5EEF"/>
    <w:rsid w:val="003B781B"/>
    <w:rsid w:val="003C36AC"/>
    <w:rsid w:val="003F3E9E"/>
    <w:rsid w:val="00401AE6"/>
    <w:rsid w:val="0041492F"/>
    <w:rsid w:val="004221D1"/>
    <w:rsid w:val="00441465"/>
    <w:rsid w:val="00461997"/>
    <w:rsid w:val="0047612C"/>
    <w:rsid w:val="004820E9"/>
    <w:rsid w:val="0048361F"/>
    <w:rsid w:val="00490019"/>
    <w:rsid w:val="004B514C"/>
    <w:rsid w:val="004D4CB5"/>
    <w:rsid w:val="004F30B5"/>
    <w:rsid w:val="00503808"/>
    <w:rsid w:val="005054F7"/>
    <w:rsid w:val="00526C07"/>
    <w:rsid w:val="0053387C"/>
    <w:rsid w:val="005729CA"/>
    <w:rsid w:val="00584640"/>
    <w:rsid w:val="005860F4"/>
    <w:rsid w:val="005869E0"/>
    <w:rsid w:val="005B5B53"/>
    <w:rsid w:val="005C051F"/>
    <w:rsid w:val="005C0750"/>
    <w:rsid w:val="005C762E"/>
    <w:rsid w:val="005D098C"/>
    <w:rsid w:val="005E0D69"/>
    <w:rsid w:val="005F272C"/>
    <w:rsid w:val="005F71EC"/>
    <w:rsid w:val="0060662A"/>
    <w:rsid w:val="00610CB9"/>
    <w:rsid w:val="00614BDA"/>
    <w:rsid w:val="0061566A"/>
    <w:rsid w:val="006331B4"/>
    <w:rsid w:val="006343F3"/>
    <w:rsid w:val="00640E36"/>
    <w:rsid w:val="00642906"/>
    <w:rsid w:val="006A721F"/>
    <w:rsid w:val="006B2D57"/>
    <w:rsid w:val="006D73F1"/>
    <w:rsid w:val="006E457C"/>
    <w:rsid w:val="007111B0"/>
    <w:rsid w:val="00732519"/>
    <w:rsid w:val="00741F76"/>
    <w:rsid w:val="00743222"/>
    <w:rsid w:val="007A4EEE"/>
    <w:rsid w:val="007B68D6"/>
    <w:rsid w:val="007E27C8"/>
    <w:rsid w:val="007F2D52"/>
    <w:rsid w:val="00823F0A"/>
    <w:rsid w:val="008505C3"/>
    <w:rsid w:val="00862C0C"/>
    <w:rsid w:val="00877276"/>
    <w:rsid w:val="008D6592"/>
    <w:rsid w:val="008E7585"/>
    <w:rsid w:val="008E75E0"/>
    <w:rsid w:val="008F2093"/>
    <w:rsid w:val="008F590F"/>
    <w:rsid w:val="009212ED"/>
    <w:rsid w:val="0094366C"/>
    <w:rsid w:val="00953ADF"/>
    <w:rsid w:val="009557DB"/>
    <w:rsid w:val="00965AC2"/>
    <w:rsid w:val="009772AC"/>
    <w:rsid w:val="0098288B"/>
    <w:rsid w:val="00985647"/>
    <w:rsid w:val="0099372B"/>
    <w:rsid w:val="00995438"/>
    <w:rsid w:val="009A01B9"/>
    <w:rsid w:val="009A2A3F"/>
    <w:rsid w:val="009A7C2E"/>
    <w:rsid w:val="009B621A"/>
    <w:rsid w:val="009C45D9"/>
    <w:rsid w:val="009E5671"/>
    <w:rsid w:val="009F4D06"/>
    <w:rsid w:val="00A06657"/>
    <w:rsid w:val="00A64863"/>
    <w:rsid w:val="00A86D3D"/>
    <w:rsid w:val="00A94D8C"/>
    <w:rsid w:val="00AB2948"/>
    <w:rsid w:val="00AB39FA"/>
    <w:rsid w:val="00AC411F"/>
    <w:rsid w:val="00AD6933"/>
    <w:rsid w:val="00AD6B7B"/>
    <w:rsid w:val="00AE4405"/>
    <w:rsid w:val="00AE544D"/>
    <w:rsid w:val="00B24AA5"/>
    <w:rsid w:val="00B253FF"/>
    <w:rsid w:val="00B60D70"/>
    <w:rsid w:val="00BB047B"/>
    <w:rsid w:val="00BB6398"/>
    <w:rsid w:val="00BD0372"/>
    <w:rsid w:val="00BD55E4"/>
    <w:rsid w:val="00C139CA"/>
    <w:rsid w:val="00C279D5"/>
    <w:rsid w:val="00C51429"/>
    <w:rsid w:val="00C71640"/>
    <w:rsid w:val="00C734BF"/>
    <w:rsid w:val="00CD3F45"/>
    <w:rsid w:val="00CE76C5"/>
    <w:rsid w:val="00D22051"/>
    <w:rsid w:val="00D3612A"/>
    <w:rsid w:val="00D37703"/>
    <w:rsid w:val="00D37F25"/>
    <w:rsid w:val="00D431EE"/>
    <w:rsid w:val="00D441DA"/>
    <w:rsid w:val="00D46DA5"/>
    <w:rsid w:val="00D7439D"/>
    <w:rsid w:val="00DA10AF"/>
    <w:rsid w:val="00DB2907"/>
    <w:rsid w:val="00DC0120"/>
    <w:rsid w:val="00DD4B41"/>
    <w:rsid w:val="00DE643F"/>
    <w:rsid w:val="00DF55C7"/>
    <w:rsid w:val="00E24300"/>
    <w:rsid w:val="00E4622C"/>
    <w:rsid w:val="00E462E3"/>
    <w:rsid w:val="00E46571"/>
    <w:rsid w:val="00E51FFB"/>
    <w:rsid w:val="00E6247C"/>
    <w:rsid w:val="00EB3D6C"/>
    <w:rsid w:val="00EB522E"/>
    <w:rsid w:val="00ED7F0F"/>
    <w:rsid w:val="00EF018F"/>
    <w:rsid w:val="00F2408C"/>
    <w:rsid w:val="00F26A9F"/>
    <w:rsid w:val="00F43A68"/>
    <w:rsid w:val="00F62ADE"/>
    <w:rsid w:val="00F8162F"/>
    <w:rsid w:val="00FA654A"/>
    <w:rsid w:val="00FB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5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B7"/>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BodyText">
    <w:name w:val="Body Text"/>
    <w:basedOn w:val="Normal"/>
    <w:link w:val="BodyTextChar"/>
    <w:rsid w:val="000C32B7"/>
    <w:rPr>
      <w:rFonts w:ascii="Arial" w:hAnsi="Arial"/>
      <w:b/>
      <w:bCs/>
      <w:sz w:val="22"/>
      <w:szCs w:val="20"/>
    </w:rPr>
  </w:style>
  <w:style w:type="character" w:customStyle="1" w:styleId="BodyTextChar">
    <w:name w:val="Body Text Char"/>
    <w:link w:val="BodyText"/>
    <w:rsid w:val="000C32B7"/>
    <w:rPr>
      <w:rFonts w:ascii="Arial" w:hAnsi="Arial"/>
      <w:b/>
      <w:bCs/>
      <w:sz w:val="22"/>
      <w:lang w:eastAsia="en-US"/>
    </w:rPr>
  </w:style>
  <w:style w:type="character" w:styleId="CommentReference">
    <w:name w:val="annotation reference"/>
    <w:rsid w:val="00743222"/>
    <w:rPr>
      <w:sz w:val="16"/>
      <w:szCs w:val="16"/>
    </w:rPr>
  </w:style>
  <w:style w:type="paragraph" w:styleId="CommentText">
    <w:name w:val="annotation text"/>
    <w:basedOn w:val="Normal"/>
    <w:link w:val="CommentTextChar"/>
    <w:rsid w:val="00743222"/>
    <w:rPr>
      <w:sz w:val="20"/>
      <w:szCs w:val="20"/>
    </w:rPr>
  </w:style>
  <w:style w:type="character" w:customStyle="1" w:styleId="CommentTextChar">
    <w:name w:val="Comment Text Char"/>
    <w:link w:val="CommentText"/>
    <w:rsid w:val="00743222"/>
    <w:rPr>
      <w:lang w:eastAsia="en-US"/>
    </w:rPr>
  </w:style>
  <w:style w:type="paragraph" w:styleId="CommentSubject">
    <w:name w:val="annotation subject"/>
    <w:basedOn w:val="CommentText"/>
    <w:next w:val="CommentText"/>
    <w:link w:val="CommentSubjectChar"/>
    <w:rsid w:val="00743222"/>
    <w:rPr>
      <w:b/>
      <w:bCs/>
    </w:rPr>
  </w:style>
  <w:style w:type="character" w:customStyle="1" w:styleId="CommentSubjectChar">
    <w:name w:val="Comment Subject Char"/>
    <w:link w:val="CommentSubject"/>
    <w:rsid w:val="00743222"/>
    <w:rPr>
      <w:b/>
      <w:bCs/>
      <w:lang w:eastAsia="en-US"/>
    </w:rPr>
  </w:style>
  <w:style w:type="paragraph" w:styleId="BalloonText">
    <w:name w:val="Balloon Text"/>
    <w:basedOn w:val="Normal"/>
    <w:link w:val="BalloonTextChar"/>
    <w:rsid w:val="00743222"/>
    <w:rPr>
      <w:rFonts w:ascii="Tahoma" w:hAnsi="Tahoma" w:cs="Tahoma"/>
      <w:sz w:val="16"/>
      <w:szCs w:val="16"/>
    </w:rPr>
  </w:style>
  <w:style w:type="character" w:customStyle="1" w:styleId="BalloonTextChar">
    <w:name w:val="Balloon Text Char"/>
    <w:link w:val="BalloonText"/>
    <w:rsid w:val="00743222"/>
    <w:rPr>
      <w:rFonts w:ascii="Tahoma" w:hAnsi="Tahoma" w:cs="Tahoma"/>
      <w:sz w:val="16"/>
      <w:szCs w:val="16"/>
      <w:lang w:eastAsia="en-US"/>
    </w:rPr>
  </w:style>
  <w:style w:type="paragraph" w:styleId="ListParagraph">
    <w:name w:val="List Paragraph"/>
    <w:basedOn w:val="Normal"/>
    <w:uiPriority w:val="34"/>
    <w:qFormat/>
    <w:rsid w:val="00B253FF"/>
    <w:pPr>
      <w:ind w:left="720"/>
    </w:pPr>
    <w:rPr>
      <w:rFonts w:ascii="Calibri" w:eastAsia="Calibri" w:hAnsi="Calibri"/>
      <w:sz w:val="22"/>
      <w:szCs w:val="22"/>
      <w:lang w:eastAsia="en-GB"/>
    </w:rPr>
  </w:style>
  <w:style w:type="character" w:styleId="Hyperlink">
    <w:name w:val="Hyperlink"/>
    <w:uiPriority w:val="99"/>
    <w:rsid w:val="004F30B5"/>
    <w:rPr>
      <w:color w:val="0000FF"/>
      <w:u w:val="single"/>
    </w:rPr>
  </w:style>
  <w:style w:type="character" w:styleId="FollowedHyperlink">
    <w:name w:val="FollowedHyperlink"/>
    <w:rsid w:val="001667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B7"/>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BodyText">
    <w:name w:val="Body Text"/>
    <w:basedOn w:val="Normal"/>
    <w:link w:val="BodyTextChar"/>
    <w:rsid w:val="000C32B7"/>
    <w:rPr>
      <w:rFonts w:ascii="Arial" w:hAnsi="Arial"/>
      <w:b/>
      <w:bCs/>
      <w:sz w:val="22"/>
      <w:szCs w:val="20"/>
    </w:rPr>
  </w:style>
  <w:style w:type="character" w:customStyle="1" w:styleId="BodyTextChar">
    <w:name w:val="Body Text Char"/>
    <w:link w:val="BodyText"/>
    <w:rsid w:val="000C32B7"/>
    <w:rPr>
      <w:rFonts w:ascii="Arial" w:hAnsi="Arial"/>
      <w:b/>
      <w:bCs/>
      <w:sz w:val="22"/>
      <w:lang w:eastAsia="en-US"/>
    </w:rPr>
  </w:style>
  <w:style w:type="character" w:styleId="CommentReference">
    <w:name w:val="annotation reference"/>
    <w:rsid w:val="00743222"/>
    <w:rPr>
      <w:sz w:val="16"/>
      <w:szCs w:val="16"/>
    </w:rPr>
  </w:style>
  <w:style w:type="paragraph" w:styleId="CommentText">
    <w:name w:val="annotation text"/>
    <w:basedOn w:val="Normal"/>
    <w:link w:val="CommentTextChar"/>
    <w:rsid w:val="00743222"/>
    <w:rPr>
      <w:sz w:val="20"/>
      <w:szCs w:val="20"/>
    </w:rPr>
  </w:style>
  <w:style w:type="character" w:customStyle="1" w:styleId="CommentTextChar">
    <w:name w:val="Comment Text Char"/>
    <w:link w:val="CommentText"/>
    <w:rsid w:val="00743222"/>
    <w:rPr>
      <w:lang w:eastAsia="en-US"/>
    </w:rPr>
  </w:style>
  <w:style w:type="paragraph" w:styleId="CommentSubject">
    <w:name w:val="annotation subject"/>
    <w:basedOn w:val="CommentText"/>
    <w:next w:val="CommentText"/>
    <w:link w:val="CommentSubjectChar"/>
    <w:rsid w:val="00743222"/>
    <w:rPr>
      <w:b/>
      <w:bCs/>
    </w:rPr>
  </w:style>
  <w:style w:type="character" w:customStyle="1" w:styleId="CommentSubjectChar">
    <w:name w:val="Comment Subject Char"/>
    <w:link w:val="CommentSubject"/>
    <w:rsid w:val="00743222"/>
    <w:rPr>
      <w:b/>
      <w:bCs/>
      <w:lang w:eastAsia="en-US"/>
    </w:rPr>
  </w:style>
  <w:style w:type="paragraph" w:styleId="BalloonText">
    <w:name w:val="Balloon Text"/>
    <w:basedOn w:val="Normal"/>
    <w:link w:val="BalloonTextChar"/>
    <w:rsid w:val="00743222"/>
    <w:rPr>
      <w:rFonts w:ascii="Tahoma" w:hAnsi="Tahoma" w:cs="Tahoma"/>
      <w:sz w:val="16"/>
      <w:szCs w:val="16"/>
    </w:rPr>
  </w:style>
  <w:style w:type="character" w:customStyle="1" w:styleId="BalloonTextChar">
    <w:name w:val="Balloon Text Char"/>
    <w:link w:val="BalloonText"/>
    <w:rsid w:val="00743222"/>
    <w:rPr>
      <w:rFonts w:ascii="Tahoma" w:hAnsi="Tahoma" w:cs="Tahoma"/>
      <w:sz w:val="16"/>
      <w:szCs w:val="16"/>
      <w:lang w:eastAsia="en-US"/>
    </w:rPr>
  </w:style>
  <w:style w:type="paragraph" w:styleId="ListParagraph">
    <w:name w:val="List Paragraph"/>
    <w:basedOn w:val="Normal"/>
    <w:uiPriority w:val="34"/>
    <w:qFormat/>
    <w:rsid w:val="00B253FF"/>
    <w:pPr>
      <w:ind w:left="720"/>
    </w:pPr>
    <w:rPr>
      <w:rFonts w:ascii="Calibri" w:eastAsia="Calibri" w:hAnsi="Calibri"/>
      <w:sz w:val="22"/>
      <w:szCs w:val="22"/>
      <w:lang w:eastAsia="en-GB"/>
    </w:rPr>
  </w:style>
  <w:style w:type="character" w:styleId="Hyperlink">
    <w:name w:val="Hyperlink"/>
    <w:uiPriority w:val="99"/>
    <w:rsid w:val="004F30B5"/>
    <w:rPr>
      <w:color w:val="0000FF"/>
      <w:u w:val="single"/>
    </w:rPr>
  </w:style>
  <w:style w:type="character" w:styleId="FollowedHyperlink">
    <w:name w:val="FollowedHyperlink"/>
    <w:rsid w:val="001667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2491">
      <w:bodyDiv w:val="1"/>
      <w:marLeft w:val="0"/>
      <w:marRight w:val="0"/>
      <w:marTop w:val="0"/>
      <w:marBottom w:val="0"/>
      <w:divBdr>
        <w:top w:val="none" w:sz="0" w:space="0" w:color="auto"/>
        <w:left w:val="none" w:sz="0" w:space="0" w:color="auto"/>
        <w:bottom w:val="none" w:sz="0" w:space="0" w:color="auto"/>
        <w:right w:val="none" w:sz="0" w:space="0" w:color="auto"/>
      </w:divBdr>
    </w:div>
    <w:div w:id="1687562803">
      <w:bodyDiv w:val="1"/>
      <w:marLeft w:val="0"/>
      <w:marRight w:val="0"/>
      <w:marTop w:val="0"/>
      <w:marBottom w:val="0"/>
      <w:divBdr>
        <w:top w:val="none" w:sz="0" w:space="0" w:color="auto"/>
        <w:left w:val="none" w:sz="0" w:space="0" w:color="auto"/>
        <w:bottom w:val="none" w:sz="0" w:space="0" w:color="auto"/>
        <w:right w:val="none" w:sz="0" w:space="0" w:color="auto"/>
      </w:divBdr>
    </w:div>
    <w:div w:id="18317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hman-Smith@bma.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dicators@nice.org.uk" TargetMode="External"/><Relationship Id="rId4" Type="http://schemas.openxmlformats.org/officeDocument/2006/relationships/settings" Target="settings.xml"/><Relationship Id="rId9" Type="http://schemas.openxmlformats.org/officeDocument/2006/relationships/hyperlink" Target="mailto:info.gpc@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2116</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14155</CharactersWithSpaces>
  <SharedDoc>false</SharedDoc>
  <HLinks>
    <vt:vector size="6" baseType="variant">
      <vt:variant>
        <vt:i4>6488094</vt:i4>
      </vt:variant>
      <vt:variant>
        <vt:i4>0</vt:i4>
      </vt:variant>
      <vt:variant>
        <vt:i4>0</vt:i4>
      </vt:variant>
      <vt:variant>
        <vt:i4>5</vt:i4>
      </vt:variant>
      <vt:variant>
        <vt:lpwstr>mailto:QSconsultations@nice.org.uk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rneary</dc:creator>
  <cp:lastModifiedBy>Caroline Price</cp:lastModifiedBy>
  <cp:revision>2</cp:revision>
  <dcterms:created xsi:type="dcterms:W3CDTF">2015-05-28T10:47:00Z</dcterms:created>
  <dcterms:modified xsi:type="dcterms:W3CDTF">2015-05-28T10:47:00Z</dcterms:modified>
</cp:coreProperties>
</file>